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B892484" w14:textId="77777777" w:rsidR="00685978" w:rsidRDefault="00685978">
      <w:pPr>
        <w:widowControl w:val="0"/>
        <w:pBdr>
          <w:top w:val="nil"/>
          <w:left w:val="nil"/>
          <w:bottom w:val="nil"/>
          <w:right w:val="nil"/>
          <w:between w:val="nil"/>
        </w:pBdr>
        <w:spacing w:line="276" w:lineRule="auto"/>
        <w:jc w:val="both"/>
      </w:pPr>
    </w:p>
    <w:p w14:paraId="374ABF29" w14:textId="77777777" w:rsidR="00685978" w:rsidRDefault="00000000">
      <w:pPr>
        <w:widowControl w:val="0"/>
        <w:pBdr>
          <w:top w:val="nil"/>
          <w:left w:val="nil"/>
          <w:bottom w:val="nil"/>
          <w:right w:val="nil"/>
          <w:between w:val="nil"/>
        </w:pBdr>
        <w:spacing w:line="276" w:lineRule="auto"/>
        <w:jc w:val="both"/>
        <w:rPr>
          <w:color w:val="000000"/>
          <w:sz w:val="22"/>
          <w:szCs w:val="22"/>
        </w:rPr>
      </w:pPr>
      <w:r>
        <w:rPr>
          <w:sz w:val="22"/>
          <w:szCs w:val="22"/>
        </w:rPr>
        <w:t xml:space="preserve">       </w:t>
      </w:r>
    </w:p>
    <w:tbl>
      <w:tblPr>
        <w:tblStyle w:val="a"/>
        <w:tblW w:w="10785" w:type="dxa"/>
        <w:tblInd w:w="-937" w:type="dxa"/>
        <w:tblBorders>
          <w:top w:val="single" w:sz="4" w:space="0" w:color="000000"/>
          <w:left w:val="single" w:sz="4" w:space="0" w:color="000000"/>
          <w:bottom w:val="single" w:sz="4" w:space="0" w:color="000000"/>
          <w:right w:val="single" w:sz="4" w:space="0" w:color="000000"/>
        </w:tblBorders>
        <w:tblLayout w:type="fixed"/>
        <w:tblLook w:val="0000" w:firstRow="0" w:lastRow="0" w:firstColumn="0" w:lastColumn="0" w:noHBand="0" w:noVBand="0"/>
      </w:tblPr>
      <w:tblGrid>
        <w:gridCol w:w="3450"/>
        <w:gridCol w:w="4215"/>
        <w:gridCol w:w="3120"/>
      </w:tblGrid>
      <w:tr w:rsidR="00685978" w14:paraId="3F3D89E9" w14:textId="77777777">
        <w:trPr>
          <w:trHeight w:val="97"/>
        </w:trPr>
        <w:tc>
          <w:tcPr>
            <w:tcW w:w="3450" w:type="dxa"/>
            <w:tcBorders>
              <w:top w:val="single" w:sz="4" w:space="0" w:color="000000"/>
              <w:bottom w:val="single" w:sz="4" w:space="0" w:color="000000"/>
              <w:right w:val="single" w:sz="4" w:space="0" w:color="000000"/>
            </w:tcBorders>
            <w:shd w:val="clear" w:color="auto" w:fill="154A8A"/>
            <w:vAlign w:val="center"/>
          </w:tcPr>
          <w:p w14:paraId="49944E40" w14:textId="77777777" w:rsidR="00685978" w:rsidRDefault="00000000">
            <w:pPr>
              <w:pStyle w:val="Ttulo2"/>
              <w:ind w:right="72"/>
              <w:jc w:val="both"/>
              <w:rPr>
                <w:rFonts w:ascii="Arial Narrow" w:eastAsia="Arial Narrow" w:hAnsi="Arial Narrow" w:cs="Arial Narrow"/>
                <w:color w:val="FFFFFF"/>
                <w:sz w:val="22"/>
                <w:szCs w:val="22"/>
              </w:rPr>
            </w:pPr>
            <w:r>
              <w:rPr>
                <w:rFonts w:ascii="Arial Narrow" w:eastAsia="Arial Narrow" w:hAnsi="Arial Narrow" w:cs="Arial Narrow"/>
                <w:color w:val="FFFFFF"/>
                <w:sz w:val="22"/>
                <w:szCs w:val="22"/>
              </w:rPr>
              <w:t>Entidad originadora:</w:t>
            </w:r>
          </w:p>
        </w:tc>
        <w:tc>
          <w:tcPr>
            <w:tcW w:w="7335" w:type="dxa"/>
            <w:gridSpan w:val="2"/>
            <w:tcBorders>
              <w:top w:val="single" w:sz="4" w:space="0" w:color="000000"/>
              <w:left w:val="single" w:sz="4" w:space="0" w:color="000000"/>
              <w:bottom w:val="single" w:sz="4" w:space="0" w:color="000000"/>
            </w:tcBorders>
            <w:shd w:val="clear" w:color="auto" w:fill="FFFFFF"/>
            <w:vAlign w:val="center"/>
          </w:tcPr>
          <w:p w14:paraId="598ADC98" w14:textId="77777777" w:rsidR="00685978" w:rsidRDefault="00000000">
            <w:pPr>
              <w:pStyle w:val="Ttulo2"/>
              <w:ind w:left="72" w:right="72"/>
              <w:jc w:val="both"/>
              <w:rPr>
                <w:rFonts w:ascii="Arial Narrow" w:eastAsia="Arial Narrow" w:hAnsi="Arial Narrow" w:cs="Arial Narrow"/>
                <w:b w:val="0"/>
                <w:bCs w:val="0"/>
                <w:color w:val="808080"/>
                <w:sz w:val="22"/>
                <w:szCs w:val="22"/>
              </w:rPr>
            </w:pPr>
            <w:r>
              <w:rPr>
                <w:rFonts w:ascii="Arial Narrow" w:eastAsia="Arial Narrow" w:hAnsi="Arial Narrow" w:cs="Arial Narrow"/>
                <w:color w:val="000000"/>
                <w:sz w:val="22"/>
                <w:szCs w:val="22"/>
              </w:rPr>
              <w:t>MINISTERIO DE AMBIENTE Y DESARROLLO SOSTENIBLE</w:t>
            </w:r>
          </w:p>
        </w:tc>
      </w:tr>
      <w:tr w:rsidR="00685978" w14:paraId="156C8C61" w14:textId="77777777">
        <w:trPr>
          <w:trHeight w:val="97"/>
        </w:trPr>
        <w:tc>
          <w:tcPr>
            <w:tcW w:w="3450" w:type="dxa"/>
            <w:tcBorders>
              <w:top w:val="single" w:sz="4" w:space="0" w:color="000000"/>
              <w:bottom w:val="single" w:sz="4" w:space="0" w:color="000000"/>
              <w:right w:val="single" w:sz="4" w:space="0" w:color="000000"/>
            </w:tcBorders>
            <w:shd w:val="clear" w:color="auto" w:fill="154A8A"/>
            <w:vAlign w:val="center"/>
          </w:tcPr>
          <w:p w14:paraId="36E08F8E" w14:textId="77777777" w:rsidR="00685978" w:rsidRDefault="00000000">
            <w:pPr>
              <w:pStyle w:val="Ttulo2"/>
              <w:ind w:right="72"/>
              <w:jc w:val="both"/>
              <w:rPr>
                <w:rFonts w:ascii="Arial Narrow" w:eastAsia="Arial Narrow" w:hAnsi="Arial Narrow" w:cs="Arial Narrow"/>
                <w:color w:val="FFFFFF"/>
                <w:sz w:val="22"/>
                <w:szCs w:val="22"/>
              </w:rPr>
            </w:pPr>
            <w:r>
              <w:rPr>
                <w:rFonts w:ascii="Arial Narrow" w:eastAsia="Arial Narrow" w:hAnsi="Arial Narrow" w:cs="Arial Narrow"/>
                <w:color w:val="FFFFFF"/>
                <w:sz w:val="22"/>
                <w:szCs w:val="22"/>
              </w:rPr>
              <w:t>Fecha (</w:t>
            </w:r>
            <w:proofErr w:type="spellStart"/>
            <w:r>
              <w:rPr>
                <w:rFonts w:ascii="Arial Narrow" w:eastAsia="Arial Narrow" w:hAnsi="Arial Narrow" w:cs="Arial Narrow"/>
                <w:color w:val="FFFFFF"/>
                <w:sz w:val="22"/>
                <w:szCs w:val="22"/>
              </w:rPr>
              <w:t>dd</w:t>
            </w:r>
            <w:proofErr w:type="spellEnd"/>
            <w:r>
              <w:rPr>
                <w:rFonts w:ascii="Arial Narrow" w:eastAsia="Arial Narrow" w:hAnsi="Arial Narrow" w:cs="Arial Narrow"/>
                <w:color w:val="FFFFFF"/>
                <w:sz w:val="22"/>
                <w:szCs w:val="22"/>
              </w:rPr>
              <w:t>/mm/</w:t>
            </w:r>
            <w:proofErr w:type="spellStart"/>
            <w:r>
              <w:rPr>
                <w:rFonts w:ascii="Arial Narrow" w:eastAsia="Arial Narrow" w:hAnsi="Arial Narrow" w:cs="Arial Narrow"/>
                <w:color w:val="FFFFFF"/>
                <w:sz w:val="22"/>
                <w:szCs w:val="22"/>
              </w:rPr>
              <w:t>aa</w:t>
            </w:r>
            <w:proofErr w:type="spellEnd"/>
            <w:r>
              <w:rPr>
                <w:rFonts w:ascii="Arial Narrow" w:eastAsia="Arial Narrow" w:hAnsi="Arial Narrow" w:cs="Arial Narrow"/>
                <w:color w:val="FFFFFF"/>
                <w:sz w:val="22"/>
                <w:szCs w:val="22"/>
              </w:rPr>
              <w:t>):</w:t>
            </w:r>
          </w:p>
        </w:tc>
        <w:tc>
          <w:tcPr>
            <w:tcW w:w="7335" w:type="dxa"/>
            <w:gridSpan w:val="2"/>
            <w:tcBorders>
              <w:top w:val="single" w:sz="4" w:space="0" w:color="000000"/>
              <w:left w:val="single" w:sz="4" w:space="0" w:color="000000"/>
              <w:bottom w:val="single" w:sz="4" w:space="0" w:color="000000"/>
            </w:tcBorders>
            <w:shd w:val="clear" w:color="auto" w:fill="FFFFFF"/>
            <w:vAlign w:val="center"/>
          </w:tcPr>
          <w:p w14:paraId="5FF0013E" w14:textId="77777777" w:rsidR="00685978" w:rsidRDefault="00000000">
            <w:pPr>
              <w:pStyle w:val="Ttulo2"/>
              <w:ind w:left="72" w:right="72"/>
              <w:jc w:val="both"/>
              <w:rPr>
                <w:rFonts w:ascii="Arial Narrow" w:eastAsia="Arial Narrow" w:hAnsi="Arial Narrow" w:cs="Arial Narrow"/>
                <w:b w:val="0"/>
                <w:bCs w:val="0"/>
                <w:sz w:val="22"/>
                <w:szCs w:val="22"/>
              </w:rPr>
            </w:pPr>
            <w:r>
              <w:rPr>
                <w:rFonts w:ascii="Arial Narrow" w:eastAsia="Arial Narrow" w:hAnsi="Arial Narrow" w:cs="Arial Narrow"/>
                <w:b w:val="0"/>
                <w:bCs w:val="0"/>
                <w:i/>
                <w:iCs/>
                <w:color w:val="808080"/>
                <w:sz w:val="22"/>
                <w:szCs w:val="22"/>
              </w:rPr>
              <w:t>Indique la fecha en que se presenta a Secretaría Jurídica de Presidencia</w:t>
            </w:r>
          </w:p>
        </w:tc>
      </w:tr>
      <w:tr w:rsidR="00685978" w14:paraId="66D57839" w14:textId="77777777">
        <w:trPr>
          <w:trHeight w:val="97"/>
        </w:trPr>
        <w:tc>
          <w:tcPr>
            <w:tcW w:w="3450" w:type="dxa"/>
            <w:tcBorders>
              <w:top w:val="single" w:sz="4" w:space="0" w:color="000000"/>
              <w:bottom w:val="single" w:sz="4" w:space="0" w:color="000000"/>
              <w:right w:val="single" w:sz="4" w:space="0" w:color="000000"/>
            </w:tcBorders>
            <w:shd w:val="clear" w:color="auto" w:fill="154A8A"/>
            <w:vAlign w:val="center"/>
          </w:tcPr>
          <w:p w14:paraId="00522B73" w14:textId="77777777" w:rsidR="00685978" w:rsidRDefault="00000000">
            <w:pPr>
              <w:pStyle w:val="Ttulo2"/>
              <w:ind w:right="72"/>
              <w:jc w:val="both"/>
              <w:rPr>
                <w:rFonts w:ascii="Arial Narrow" w:eastAsia="Arial Narrow" w:hAnsi="Arial Narrow" w:cs="Arial Narrow"/>
                <w:color w:val="FFFFFF"/>
                <w:sz w:val="22"/>
                <w:szCs w:val="22"/>
              </w:rPr>
            </w:pPr>
            <w:r>
              <w:rPr>
                <w:rFonts w:ascii="Arial Narrow" w:eastAsia="Arial Narrow" w:hAnsi="Arial Narrow" w:cs="Arial Narrow"/>
                <w:color w:val="FFFFFF"/>
                <w:sz w:val="22"/>
                <w:szCs w:val="22"/>
              </w:rPr>
              <w:t>Proyecto de Decreto/Resolución:</w:t>
            </w:r>
          </w:p>
        </w:tc>
        <w:tc>
          <w:tcPr>
            <w:tcW w:w="7335" w:type="dxa"/>
            <w:gridSpan w:val="2"/>
            <w:tcBorders>
              <w:top w:val="single" w:sz="4" w:space="0" w:color="000000"/>
              <w:left w:val="single" w:sz="4" w:space="0" w:color="000000"/>
              <w:bottom w:val="single" w:sz="4" w:space="0" w:color="000000"/>
            </w:tcBorders>
            <w:shd w:val="clear" w:color="auto" w:fill="FFFFFF"/>
            <w:vAlign w:val="center"/>
          </w:tcPr>
          <w:p w14:paraId="6B5995D2" w14:textId="77777777" w:rsidR="00685978" w:rsidRDefault="00000000">
            <w:pPr>
              <w:jc w:val="both"/>
              <w:rPr>
                <w:rFonts w:ascii="Arial Narrow" w:eastAsia="Arial Narrow" w:hAnsi="Arial Narrow" w:cs="Arial Narrow"/>
                <w:b/>
                <w:bCs/>
                <w:color w:val="000000"/>
                <w:sz w:val="22"/>
                <w:szCs w:val="22"/>
              </w:rPr>
            </w:pPr>
            <w:r>
              <w:rPr>
                <w:rFonts w:ascii="Arial Narrow" w:eastAsia="Arial Narrow" w:hAnsi="Arial Narrow" w:cs="Arial Narrow"/>
                <w:b/>
                <w:bCs/>
                <w:color w:val="000000"/>
                <w:sz w:val="22"/>
                <w:szCs w:val="22"/>
              </w:rPr>
              <w:t>“Por la cual se adoptan los lineamientos del Curso de Sensibilización contra el Maltrato Animal y la Ruta de Atención al Maltrato Animal, en desarrollo de los artículos 8 y 24 de la Ley 2455 de 2025, y se dictan otras disposiciones.”</w:t>
            </w:r>
          </w:p>
        </w:tc>
      </w:tr>
      <w:tr w:rsidR="00685978" w14:paraId="428712D8" w14:textId="77777777">
        <w:trPr>
          <w:trHeight w:val="674"/>
        </w:trPr>
        <w:tc>
          <w:tcPr>
            <w:tcW w:w="10785" w:type="dxa"/>
            <w:gridSpan w:val="3"/>
            <w:tcBorders>
              <w:top w:val="single" w:sz="4" w:space="0" w:color="000000"/>
            </w:tcBorders>
            <w:shd w:val="clear" w:color="auto" w:fill="FFFFFF"/>
            <w:vAlign w:val="center"/>
          </w:tcPr>
          <w:p w14:paraId="26721054" w14:textId="77777777" w:rsidR="00685978" w:rsidRDefault="00000000">
            <w:pPr>
              <w:numPr>
                <w:ilvl w:val="0"/>
                <w:numId w:val="2"/>
              </w:numPr>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ANTECEDENTES Y RAZONES DE OPORTUNIDAD Y CONVENIENCIA QUE JUSTIFICAN SU EXPEDICIÓN.</w:t>
            </w:r>
          </w:p>
          <w:p w14:paraId="00E93665" w14:textId="77777777" w:rsidR="00685978" w:rsidRDefault="00685978">
            <w:pPr>
              <w:jc w:val="both"/>
              <w:rPr>
                <w:rFonts w:ascii="Arial Narrow" w:eastAsia="Arial Narrow" w:hAnsi="Arial Narrow" w:cs="Arial Narrow"/>
                <w:color w:val="000000"/>
                <w:sz w:val="24"/>
                <w:szCs w:val="24"/>
              </w:rPr>
            </w:pPr>
          </w:p>
          <w:p w14:paraId="0DD865EF" w14:textId="77777777" w:rsidR="00685978" w:rsidRDefault="00000000">
            <w:pPr>
              <w:widowControl w:val="0"/>
              <w:pBdr>
                <w:top w:val="nil"/>
                <w:left w:val="nil"/>
                <w:bottom w:val="nil"/>
                <w:right w:val="nil"/>
                <w:between w:val="nil"/>
              </w:pBdr>
              <w:ind w:right="188"/>
              <w:jc w:val="both"/>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 xml:space="preserve">El ordenamiento jurídico colombiano ha consolidado un marco normativo de protección animal que reconoce la relación entre el bienestar de los animales, el ambiente sano, la salud pública y la convivencia ciudadana. En este sentido, la Ley 84 de 1989 adoptó el Estatuto Nacional de Protección de los Animales, estableciendo que estos deben recibir especial protección contra el sufrimiento y el dolor causados directa o indirectamente por el ser humano. </w:t>
            </w:r>
          </w:p>
          <w:p w14:paraId="41CB3FDE" w14:textId="77777777" w:rsidR="00685978" w:rsidRDefault="00000000">
            <w:pPr>
              <w:spacing w:before="280" w:after="280"/>
              <w:jc w:val="both"/>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Posteriormente, la Ley 1774 de 2016 fortaleció este marco al reconocer a los animales como seres sintientes y tipificar el maltrato animal como delito, incorporando sanciones de carácter penal y medidas de protección frente a conductas constitutivas de maltrato animal, lo cual consolidó un cambio estructural en su tratamiento jurídico. Este avance normativo evidenció la necesidad de robustecer los mecanismos de prevención, control y sanción. De manera complementaria, la Ley 1801 de 2016 introdujo medidas correctivas orientadas a regular la tenencia responsable de animales y garantizar condiciones adecuadas de convivencia, facultando a las autoridades de policía para intervenir frente a situaciones que afecten el bienestar animal o representen riesgos para la comunidad.</w:t>
            </w:r>
          </w:p>
          <w:p w14:paraId="2D5DF5EA" w14:textId="77777777" w:rsidR="00685978" w:rsidRDefault="00000000">
            <w:pPr>
              <w:spacing w:before="280" w:after="280"/>
              <w:jc w:val="both"/>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 xml:space="preserve"> A su vez, la Ley 2294 de 2023, por medio de la cual se expide el Plan Nacional de Desarrollo 2022–2026, creó el Sistema Nacional de Protección y Bienestar Animal (SINAPYBA), como instancia de articulación de políticas, orientaciones, normas, programas, instituciones y actores para la protección y el bienestar animal, bajo un enfoque intersectorial y territorial.</w:t>
            </w:r>
          </w:p>
          <w:p w14:paraId="08AFCE1B" w14:textId="77777777" w:rsidR="00685978" w:rsidRDefault="00000000">
            <w:pPr>
              <w:pBdr>
                <w:top w:val="nil"/>
                <w:left w:val="nil"/>
                <w:bottom w:val="nil"/>
                <w:right w:val="nil"/>
                <w:between w:val="nil"/>
              </w:pBdr>
              <w:jc w:val="both"/>
              <w:rPr>
                <w:rFonts w:ascii="Arial Narrow" w:eastAsia="Arial Narrow" w:hAnsi="Arial Narrow" w:cs="Arial Narrow"/>
                <w:sz w:val="24"/>
                <w:szCs w:val="24"/>
              </w:rPr>
            </w:pPr>
            <w:r>
              <w:rPr>
                <w:rFonts w:ascii="Arial Narrow" w:eastAsia="Arial Narrow" w:hAnsi="Arial Narrow" w:cs="Arial Narrow"/>
                <w:color w:val="000000"/>
                <w:sz w:val="24"/>
                <w:szCs w:val="24"/>
              </w:rPr>
              <w:t>En desarrollo de dicha disposición, el Gobierno nacional expidió el Decreto 0810 de 2025, mediante el cual se reglament</w:t>
            </w:r>
            <w:r>
              <w:rPr>
                <w:rFonts w:ascii="Arial Narrow" w:eastAsia="Arial Narrow" w:hAnsi="Arial Narrow" w:cs="Arial Narrow"/>
                <w:sz w:val="24"/>
                <w:szCs w:val="24"/>
              </w:rPr>
              <w:t>ó la organización y funcionamiento del SINAPYBA y se definieron sus instancias de coordinación y articulación institucional, entre ellas el Comité Nacional de Protección y Bienestar Animal (CNPYBA), como instancia directiva responsable de la orientación técnica, la articulación intersectorial y el seguimiento a la implementación de los instrumentos derivados de la política nacional de protección y bienestar animal.</w:t>
            </w:r>
          </w:p>
          <w:p w14:paraId="5B8288D8" w14:textId="77777777" w:rsidR="00685978" w:rsidRDefault="00685978">
            <w:pPr>
              <w:pBdr>
                <w:top w:val="nil"/>
                <w:left w:val="nil"/>
                <w:bottom w:val="nil"/>
                <w:right w:val="nil"/>
                <w:between w:val="nil"/>
              </w:pBdr>
              <w:jc w:val="both"/>
              <w:rPr>
                <w:rFonts w:ascii="Arial Narrow" w:eastAsia="Arial Narrow" w:hAnsi="Arial Narrow" w:cs="Arial Narrow"/>
                <w:sz w:val="24"/>
                <w:szCs w:val="24"/>
              </w:rPr>
            </w:pPr>
          </w:p>
          <w:p w14:paraId="39C8B8A9" w14:textId="77777777" w:rsidR="00685978" w:rsidRDefault="00000000">
            <w:pPr>
              <w:jc w:val="both"/>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 xml:space="preserve">Desde la perspectiva sanitaria, la Ley 9 de 1979 establece las disposiciones necesarias para la protección de la salud humana, reconociendo que la salud es un bien de interés público y que las normas sanitarias son de orden público. En este sentido, la relación humano-animal-ambiente puede constituir un factor protector o de riesgo para la salud pública, según las condiciones de protección, bienestar animal, salubridad y manejo existentes. La ausencia de dichas condiciones puede generar riesgos sanitarios asociados a zoonosis, agresiones por animales, accidentes con animales ponzoñosos </w:t>
            </w:r>
            <w:r>
              <w:rPr>
                <w:rFonts w:ascii="Arial Narrow" w:eastAsia="Arial Narrow" w:hAnsi="Arial Narrow" w:cs="Arial Narrow"/>
                <w:sz w:val="24"/>
                <w:szCs w:val="24"/>
              </w:rPr>
              <w:t>y/o venenosos</w:t>
            </w:r>
            <w:r>
              <w:rPr>
                <w:rFonts w:ascii="Arial Narrow" w:eastAsia="Arial Narrow" w:hAnsi="Arial Narrow" w:cs="Arial Narrow"/>
                <w:color w:val="000000"/>
                <w:sz w:val="24"/>
                <w:szCs w:val="24"/>
              </w:rPr>
              <w:t xml:space="preserve">, condiciones insalubres y otros eventos que requieren la intervención de las autoridades competentes, conforme al marco funcional de cada entidad. </w:t>
            </w:r>
          </w:p>
          <w:p w14:paraId="6460FE57" w14:textId="77777777" w:rsidR="00685978" w:rsidRDefault="00685978">
            <w:pPr>
              <w:jc w:val="both"/>
              <w:rPr>
                <w:rFonts w:ascii="Arial Narrow" w:eastAsia="Arial Narrow" w:hAnsi="Arial Narrow" w:cs="Arial Narrow"/>
                <w:color w:val="000000"/>
                <w:sz w:val="24"/>
                <w:szCs w:val="24"/>
              </w:rPr>
            </w:pPr>
          </w:p>
          <w:p w14:paraId="780A2C5D" w14:textId="77777777" w:rsidR="00685978" w:rsidRDefault="00000000">
            <w:pPr>
              <w:pBdr>
                <w:top w:val="nil"/>
                <w:left w:val="nil"/>
                <w:bottom w:val="nil"/>
                <w:right w:val="nil"/>
                <w:between w:val="nil"/>
              </w:pBdr>
              <w:jc w:val="both"/>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 xml:space="preserve">Así mismo, el Decreto Ley 0120 del 30 de enero de 2026 actualizó la estructura y funciones del Ministerio de Salud y Protección Social, asignándole competencias para formular, adoptar, dirigir, coordinar, orientar y evaluar la política pública </w:t>
            </w:r>
            <w:r>
              <w:rPr>
                <w:rFonts w:ascii="Arial Narrow" w:eastAsia="Arial Narrow" w:hAnsi="Arial Narrow" w:cs="Arial Narrow"/>
                <w:color w:val="000000"/>
                <w:sz w:val="24"/>
                <w:szCs w:val="24"/>
              </w:rPr>
              <w:lastRenderedPageBreak/>
              <w:t>en materia de salud, salud pública y promoción social en salud. En dicho marco competencial, la participación del Ministerio en el presente proyecto se circunscribe al componente técnico de salud pública, vigilancia sanitaria, prevención y control de zoonosis, gestión del riesgo sanitario, condiciones higiénico-sanitarias y acciones de promoción y prevención, sin asumir competencias propias de las autoridades ambientales, policivas, judiciales o territoriales.</w:t>
            </w:r>
          </w:p>
          <w:p w14:paraId="3954E70B" w14:textId="77777777" w:rsidR="00685978" w:rsidRDefault="00000000">
            <w:pPr>
              <w:pBdr>
                <w:top w:val="nil"/>
                <w:left w:val="nil"/>
                <w:bottom w:val="nil"/>
                <w:right w:val="nil"/>
                <w:between w:val="nil"/>
              </w:pBdr>
              <w:jc w:val="both"/>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Adicionalmente, la Ley 576 de 2000 establece el Código de Ética para el ejercicio profesional de la medicina veterinaria y de la medicina veterinaria y zootecnia, incorporando deberes relacionados con el bienestar animal y la adecuada valoración técnica de los animales.</w:t>
            </w:r>
          </w:p>
          <w:p w14:paraId="09306332" w14:textId="77777777" w:rsidR="00685978" w:rsidRDefault="00685978">
            <w:pPr>
              <w:pBdr>
                <w:top w:val="nil"/>
                <w:left w:val="nil"/>
                <w:bottom w:val="nil"/>
                <w:right w:val="nil"/>
                <w:between w:val="nil"/>
              </w:pBdr>
              <w:jc w:val="both"/>
              <w:rPr>
                <w:rFonts w:ascii="Arial Narrow" w:eastAsia="Arial Narrow" w:hAnsi="Arial Narrow" w:cs="Arial Narrow"/>
                <w:color w:val="000000"/>
                <w:sz w:val="24"/>
                <w:szCs w:val="24"/>
              </w:rPr>
            </w:pPr>
          </w:p>
          <w:p w14:paraId="205A329C" w14:textId="77777777" w:rsidR="00685978" w:rsidRDefault="00000000">
            <w:pPr>
              <w:pBdr>
                <w:top w:val="nil"/>
                <w:left w:val="nil"/>
                <w:bottom w:val="nil"/>
                <w:right w:val="nil"/>
                <w:between w:val="nil"/>
              </w:pBdr>
              <w:jc w:val="both"/>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En este contexto, la Ley 2455 de 2025</w:t>
            </w:r>
            <w:r>
              <w:rPr>
                <w:rFonts w:ascii="Arial Narrow" w:eastAsia="Arial Narrow" w:hAnsi="Arial Narrow" w:cs="Arial Narrow"/>
                <w:sz w:val="24"/>
                <w:szCs w:val="24"/>
              </w:rPr>
              <w:t xml:space="preserve">, </w:t>
            </w:r>
            <w:r>
              <w:rPr>
                <w:rFonts w:ascii="Arial Narrow" w:eastAsia="Arial Narrow" w:hAnsi="Arial Narrow" w:cs="Arial Narrow"/>
                <w:color w:val="000000"/>
                <w:sz w:val="24"/>
                <w:szCs w:val="24"/>
              </w:rPr>
              <w:t>Ley Ángel, fortaleció la lucha contra el maltrato animal y dispuso medidas orientadas a mejorar la prevención, investigación, sanción y atención institucional de los casos de maltrato animal.</w:t>
            </w:r>
          </w:p>
          <w:p w14:paraId="3F543C0D" w14:textId="77777777" w:rsidR="00685978" w:rsidRDefault="00000000">
            <w:pPr>
              <w:pBdr>
                <w:top w:val="nil"/>
                <w:left w:val="nil"/>
                <w:bottom w:val="nil"/>
                <w:right w:val="nil"/>
                <w:between w:val="nil"/>
              </w:pBdr>
              <w:jc w:val="both"/>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Particularmente, los artículos 8 y 24 de la Ley 2455 de 2025 establecieron que las entidades que conforman el SINAPYBA deberán expedir los lineamientos del Curso de Sensibilización contra el Maltrato Animal y la Ruta de Atención al Maltrato Animal.</w:t>
            </w:r>
          </w:p>
          <w:p w14:paraId="1D908D1A" w14:textId="77777777" w:rsidR="00685978" w:rsidRDefault="00685978">
            <w:pPr>
              <w:pBdr>
                <w:top w:val="nil"/>
                <w:left w:val="nil"/>
                <w:bottom w:val="nil"/>
                <w:right w:val="nil"/>
                <w:between w:val="nil"/>
              </w:pBdr>
              <w:jc w:val="both"/>
              <w:rPr>
                <w:rFonts w:ascii="Arial Narrow" w:eastAsia="Arial Narrow" w:hAnsi="Arial Narrow" w:cs="Arial Narrow"/>
                <w:color w:val="000000"/>
                <w:sz w:val="24"/>
                <w:szCs w:val="24"/>
              </w:rPr>
            </w:pPr>
          </w:p>
          <w:p w14:paraId="4D81D1C5" w14:textId="77777777" w:rsidR="00685978" w:rsidRDefault="00000000">
            <w:pPr>
              <w:pBdr>
                <w:top w:val="nil"/>
                <w:left w:val="nil"/>
                <w:bottom w:val="nil"/>
                <w:right w:val="nil"/>
                <w:between w:val="nil"/>
              </w:pBdr>
              <w:jc w:val="both"/>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El artículo 8 de la Ley 2455 de 2025, mediante el cual se modifica el artículo 14 de la Ley 84 de 1989, dispuso la adopción de lineamientos para el Curso de Sensibilización contra el Maltrato Animal, orientado a fomentar conductas de respeto y protección hacia los animales e informar sobre las consecuencias penales y sancionatorias derivadas de las conductas de maltrato animal.</w:t>
            </w:r>
          </w:p>
          <w:p w14:paraId="08595CAB" w14:textId="77777777" w:rsidR="00685978" w:rsidRDefault="00685978">
            <w:pPr>
              <w:pBdr>
                <w:top w:val="nil"/>
                <w:left w:val="nil"/>
                <w:bottom w:val="nil"/>
                <w:right w:val="nil"/>
                <w:between w:val="nil"/>
              </w:pBdr>
              <w:jc w:val="both"/>
              <w:rPr>
                <w:rFonts w:ascii="Arial Narrow" w:eastAsia="Arial Narrow" w:hAnsi="Arial Narrow" w:cs="Arial Narrow"/>
                <w:color w:val="000000"/>
                <w:sz w:val="24"/>
                <w:szCs w:val="24"/>
              </w:rPr>
            </w:pPr>
          </w:p>
          <w:p w14:paraId="6744C763" w14:textId="77777777" w:rsidR="00685978" w:rsidRDefault="00000000">
            <w:pPr>
              <w:pBdr>
                <w:top w:val="nil"/>
                <w:left w:val="nil"/>
                <w:bottom w:val="nil"/>
                <w:right w:val="nil"/>
                <w:between w:val="nil"/>
              </w:pBdr>
              <w:jc w:val="both"/>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Por su parte, el artículo 24 de la Ley 2455 de 2025 estableció la Ruta de Atención al Maltrato Animal como un instrumento para formalizar la actuación institucional coordinada entre las entidades competentes del orden nacional y territorial frente a los casos de maltrato animal, de acuerdo con las competencias de cada entidad.</w:t>
            </w:r>
          </w:p>
          <w:p w14:paraId="54A214CE" w14:textId="77777777" w:rsidR="00685978" w:rsidRDefault="00685978">
            <w:pPr>
              <w:pBdr>
                <w:top w:val="nil"/>
                <w:left w:val="nil"/>
                <w:bottom w:val="nil"/>
                <w:right w:val="nil"/>
                <w:between w:val="nil"/>
              </w:pBdr>
              <w:jc w:val="both"/>
              <w:rPr>
                <w:rFonts w:ascii="Arial Narrow" w:eastAsia="Arial Narrow" w:hAnsi="Arial Narrow" w:cs="Arial Narrow"/>
                <w:color w:val="000000"/>
                <w:sz w:val="24"/>
                <w:szCs w:val="24"/>
              </w:rPr>
            </w:pPr>
          </w:p>
          <w:p w14:paraId="6904F5A1" w14:textId="77777777" w:rsidR="00685978" w:rsidRDefault="00000000">
            <w:pPr>
              <w:jc w:val="both"/>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En el marco de los artículos 8 y 24 de la Ley 2455 de 2025, el Ministerio de Salud y Protección Social, en el ámbito de sus competencias, participará técnicamente en la definición de lineamientos de salud pública orientados a la prevención de riesgos asociados al maltrato animal, incluyendo condiciones higiénico-sanitarias, medidas de prevención, vigilancia y control de zoonosis y gestión del riesgo sanitario. Así mismo, podrá brindar orientación técnica a las entidades territoriales en los asuntos propios del sector salud, sin sustituir sus competencias ni asumir funciones propias de las autoridades ambientales, policivas o judiciales.</w:t>
            </w:r>
          </w:p>
          <w:p w14:paraId="7E5016AC" w14:textId="77777777" w:rsidR="00685978" w:rsidRDefault="00685978">
            <w:pPr>
              <w:jc w:val="both"/>
              <w:rPr>
                <w:rFonts w:ascii="Arial Narrow" w:eastAsia="Arial Narrow" w:hAnsi="Arial Narrow" w:cs="Arial Narrow"/>
                <w:color w:val="000000"/>
                <w:sz w:val="24"/>
                <w:szCs w:val="24"/>
              </w:rPr>
            </w:pPr>
          </w:p>
          <w:p w14:paraId="6182C7FB" w14:textId="77777777" w:rsidR="00685978" w:rsidRDefault="00000000">
            <w:pPr>
              <w:pBdr>
                <w:top w:val="nil"/>
                <w:left w:val="nil"/>
                <w:bottom w:val="nil"/>
                <w:right w:val="nil"/>
                <w:between w:val="nil"/>
              </w:pBdr>
              <w:jc w:val="both"/>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La articulación con el sector salud se fundamenta en las competencias asignadas al Ministerio de Salud y Protección Social en materia de salud pública, promoción y prevención, vigilancia en salud pública, gestión del riesgo sanitario y abordaje de determinantes sociales de la salud. En este marco, la intervención del sector salud frente a la Ruta de Atención al Maltrato Animal se orienta a la prevención y gestión de riesgos sanitarios asociados a zoonosis, agresiones por animales, condiciones higiénico-sanitarias, acumulación de animales y demás eventos que puedan afectar la salud de las personas, sin que ello implique asumir competencias propias de las autoridades ambientales, policivas, judiciales o territoriales.</w:t>
            </w:r>
          </w:p>
          <w:p w14:paraId="713EDFFE" w14:textId="77777777" w:rsidR="00685978" w:rsidRDefault="00685978">
            <w:pPr>
              <w:pBdr>
                <w:top w:val="nil"/>
                <w:left w:val="nil"/>
                <w:bottom w:val="nil"/>
                <w:right w:val="nil"/>
                <w:between w:val="nil"/>
              </w:pBdr>
              <w:jc w:val="both"/>
              <w:rPr>
                <w:rFonts w:ascii="Arial Narrow" w:eastAsia="Arial Narrow" w:hAnsi="Arial Narrow" w:cs="Arial Narrow"/>
                <w:color w:val="000000"/>
                <w:sz w:val="24"/>
                <w:szCs w:val="24"/>
              </w:rPr>
            </w:pPr>
          </w:p>
          <w:p w14:paraId="1423FE20" w14:textId="77777777" w:rsidR="00685978" w:rsidRDefault="00000000">
            <w:pPr>
              <w:pBdr>
                <w:top w:val="nil"/>
                <w:left w:val="nil"/>
                <w:bottom w:val="nil"/>
                <w:right w:val="nil"/>
                <w:between w:val="nil"/>
              </w:pBdr>
              <w:jc w:val="both"/>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En el marco de la Mesa Nacional de Maltrato Animal coordinada por el Ministerio de Ambiente y Desarrollo Sostenible, con participación de entidades del orden nacional y territorial, se identificaron dificultades relacionadas con la dispersión de lineamientos institucionales, la ausencia de mecanismos homogéneos de articulación, la falta de criterios comunes de atención y la necesidad de fortalecer canales de recepción y orientación frente a los casos de presunto maltrato animal.</w:t>
            </w:r>
          </w:p>
          <w:p w14:paraId="43D8C600" w14:textId="77777777" w:rsidR="00685978" w:rsidRDefault="00685978">
            <w:pPr>
              <w:pBdr>
                <w:top w:val="nil"/>
                <w:left w:val="nil"/>
                <w:bottom w:val="nil"/>
                <w:right w:val="nil"/>
                <w:between w:val="nil"/>
              </w:pBdr>
              <w:jc w:val="both"/>
              <w:rPr>
                <w:rFonts w:ascii="Arial Narrow" w:eastAsia="Arial Narrow" w:hAnsi="Arial Narrow" w:cs="Arial Narrow"/>
                <w:color w:val="000000"/>
                <w:sz w:val="24"/>
                <w:szCs w:val="24"/>
              </w:rPr>
            </w:pPr>
          </w:p>
          <w:p w14:paraId="6E30C690" w14:textId="0B3AF3F8" w:rsidR="00685978" w:rsidRDefault="00000000">
            <w:pPr>
              <w:pBdr>
                <w:top w:val="nil"/>
                <w:left w:val="nil"/>
                <w:bottom w:val="nil"/>
                <w:right w:val="nil"/>
                <w:between w:val="nil"/>
              </w:pBdr>
              <w:jc w:val="both"/>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lastRenderedPageBreak/>
              <w:t>En consecuencia, se considera necesario adoptar lineamientos técnicos y orientadores que permitan fortalecer la coordinación institucional y facilitar la implementación del Curso de Sensibilización y de la Ruta de Atención al Maltrato Animal, en el marco de las competencias constitucionales y legales de las entidades involucradas.</w:t>
            </w:r>
          </w:p>
          <w:p w14:paraId="6FAE2684" w14:textId="77777777" w:rsidR="00B160CD" w:rsidRDefault="00B160CD">
            <w:pPr>
              <w:pBdr>
                <w:top w:val="nil"/>
                <w:left w:val="nil"/>
                <w:bottom w:val="nil"/>
                <w:right w:val="nil"/>
                <w:between w:val="nil"/>
              </w:pBdr>
              <w:jc w:val="both"/>
              <w:rPr>
                <w:rFonts w:ascii="Arial Narrow" w:eastAsia="Arial Narrow" w:hAnsi="Arial Narrow" w:cs="Arial Narrow"/>
                <w:color w:val="000000"/>
                <w:sz w:val="24"/>
                <w:szCs w:val="24"/>
              </w:rPr>
            </w:pPr>
          </w:p>
          <w:p w14:paraId="603E76F9" w14:textId="77777777" w:rsidR="00685978" w:rsidRDefault="00000000">
            <w:pPr>
              <w:pBdr>
                <w:top w:val="nil"/>
                <w:left w:val="nil"/>
                <w:bottom w:val="nil"/>
                <w:right w:val="nil"/>
                <w:between w:val="nil"/>
              </w:pBdr>
              <w:jc w:val="both"/>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La expedición del proyecto normativo permite armonizar la protección animal con la salud pública, sin desplazar las competencias de las autoridades de policía, ambientales, judiciales o territoriales. La intervención del sector salud se justifica en la necesidad de aportar criterios técnicos para prevenir, mitigar y controlar riesgos sanitarios derivados de hechos de maltrato animal, y para fortalecer la pedagogía institucional sobre tenencia responsable, prevención de zoonosis, ambiente sano, convivencia ciudadana, manejo seguro de animales y condiciones adecuadas de salubridad.</w:t>
            </w:r>
          </w:p>
          <w:p w14:paraId="5767279D" w14:textId="77777777" w:rsidR="00685978" w:rsidRDefault="00685978">
            <w:pPr>
              <w:pBdr>
                <w:top w:val="nil"/>
                <w:left w:val="nil"/>
                <w:bottom w:val="nil"/>
                <w:right w:val="nil"/>
                <w:between w:val="nil"/>
              </w:pBdr>
              <w:jc w:val="both"/>
              <w:rPr>
                <w:rFonts w:ascii="Arial Narrow" w:eastAsia="Arial Narrow" w:hAnsi="Arial Narrow" w:cs="Arial Narrow"/>
                <w:color w:val="000000"/>
                <w:sz w:val="24"/>
                <w:szCs w:val="24"/>
              </w:rPr>
            </w:pPr>
          </w:p>
          <w:p w14:paraId="2B67A739" w14:textId="77777777" w:rsidR="00685978" w:rsidRDefault="00000000">
            <w:pPr>
              <w:pBdr>
                <w:top w:val="nil"/>
                <w:left w:val="nil"/>
                <w:bottom w:val="nil"/>
                <w:right w:val="nil"/>
                <w:between w:val="nil"/>
              </w:pBdr>
              <w:jc w:val="both"/>
              <w:rPr>
                <w:rFonts w:ascii="Arial Narrow" w:eastAsia="Arial Narrow" w:hAnsi="Arial Narrow" w:cs="Arial Narrow"/>
                <w:color w:val="000000"/>
                <w:sz w:val="24"/>
                <w:szCs w:val="24"/>
              </w:rPr>
            </w:pPr>
            <w:r>
              <w:rPr>
                <w:rFonts w:ascii="Arial Narrow" w:eastAsia="Arial Narrow" w:hAnsi="Arial Narrow" w:cs="Arial Narrow"/>
                <w:color w:val="000000"/>
                <w:sz w:val="24"/>
                <w:szCs w:val="24"/>
              </w:rPr>
              <w:t>La presente resolución no crea nuevas competencias, procedimientos sancionatorios ni obligaciones adicionales a las previstas en la Constitución y la ley. Su finalidad consiste en adoptar instrumentos orientadores de articulación institucional y lineamientos técnicos para apoyar la implementación de los artículos 8 y 24 de la Ley 2455 de 2025, conforme a los principios de coordinación, concurrencia, colaboración armónica y autonomía territorial.</w:t>
            </w:r>
          </w:p>
        </w:tc>
      </w:tr>
      <w:tr w:rsidR="00685978" w14:paraId="11E850FD" w14:textId="77777777">
        <w:trPr>
          <w:trHeight w:val="47"/>
        </w:trPr>
        <w:tc>
          <w:tcPr>
            <w:tcW w:w="10785" w:type="dxa"/>
            <w:gridSpan w:val="3"/>
            <w:shd w:val="clear" w:color="auto" w:fill="FFFFFF"/>
            <w:vAlign w:val="center"/>
          </w:tcPr>
          <w:p w14:paraId="581B2276" w14:textId="77777777" w:rsidR="00685978" w:rsidRDefault="00685978">
            <w:pPr>
              <w:jc w:val="both"/>
              <w:rPr>
                <w:rFonts w:ascii="Arial Narrow" w:eastAsia="Arial Narrow" w:hAnsi="Arial Narrow" w:cs="Arial Narrow"/>
                <w:color w:val="000000"/>
                <w:sz w:val="24"/>
                <w:szCs w:val="24"/>
              </w:rPr>
            </w:pPr>
          </w:p>
          <w:p w14:paraId="52EAB9D7" w14:textId="5E669268" w:rsidR="00B160CD" w:rsidRDefault="00860F04">
            <w:pPr>
              <w:jc w:val="both"/>
              <w:rPr>
                <w:rFonts w:ascii="Arial Narrow" w:eastAsia="Arial Narrow" w:hAnsi="Arial Narrow" w:cs="Arial Narrow"/>
                <w:color w:val="000000"/>
                <w:sz w:val="24"/>
                <w:szCs w:val="24"/>
              </w:rPr>
            </w:pPr>
            <w:r w:rsidRPr="00860F04">
              <w:rPr>
                <w:rFonts w:ascii="Arial Narrow" w:eastAsia="Arial Narrow" w:hAnsi="Arial Narrow" w:cs="Arial Narrow"/>
                <w:color w:val="000000"/>
                <w:sz w:val="24"/>
                <w:szCs w:val="24"/>
              </w:rPr>
              <w:t>Que, en desarrollo de la primera sesión del Comité Nacional Intersectorial de Protección y Bienestar Animal (CNPYBA), celebrada el 19 de mayo de 2026, como instancia de coordinación del Sistema Nacional de Protección y Bienestar Animal (SINAPYBA), se presentó el estado de avance del proceso de reglamentación de los artículos 8 y 24 de la Ley 2455 de 2025 (Ley Ángel), correspondiente al proyecto de resolución y sus anexos técnicos relacionados con el curso de sensibilización y la Ruta Nacional de Atención al Maltrato Animal. En dicha sesión se acordó que la Secretaría Técnica remitiría los referidos proyectos a las entidades integrantes del Comité para la revisión y consolidación de observaciones técnicas y jurídicas dentro del plazo establecido, con el propósito de construir una versión unificada del proyecto, la cual sería sometida a revisión por la Oficina Asesora Jurídica del Ministerio de Ambiente y Desarrollo Sostenible y, posteriormente, al proceso de consulta pública para comentarios de la ciudadanía.</w:t>
            </w:r>
          </w:p>
        </w:tc>
      </w:tr>
      <w:tr w:rsidR="00685978" w14:paraId="3F9BB08C" w14:textId="77777777">
        <w:trPr>
          <w:trHeight w:val="66"/>
        </w:trPr>
        <w:tc>
          <w:tcPr>
            <w:tcW w:w="10785" w:type="dxa"/>
            <w:gridSpan w:val="3"/>
            <w:tcBorders>
              <w:top w:val="single" w:sz="4" w:space="0" w:color="000000"/>
              <w:bottom w:val="single" w:sz="4" w:space="0" w:color="000000"/>
            </w:tcBorders>
            <w:shd w:val="clear" w:color="auto" w:fill="FFFFFF"/>
            <w:vAlign w:val="center"/>
          </w:tcPr>
          <w:p w14:paraId="1877B242" w14:textId="77777777" w:rsidR="00685978" w:rsidRDefault="00000000">
            <w:pPr>
              <w:numPr>
                <w:ilvl w:val="0"/>
                <w:numId w:val="1"/>
              </w:numPr>
              <w:jc w:val="both"/>
              <w:rPr>
                <w:rFonts w:ascii="Arial Narrow" w:eastAsia="Arial Narrow" w:hAnsi="Arial Narrow" w:cs="Arial Narrow"/>
                <w:b/>
                <w:bCs/>
                <w:color w:val="000000"/>
                <w:sz w:val="24"/>
                <w:szCs w:val="24"/>
              </w:rPr>
            </w:pPr>
            <w:r>
              <w:rPr>
                <w:rFonts w:ascii="Arial Narrow" w:eastAsia="Arial Narrow" w:hAnsi="Arial Narrow" w:cs="Arial Narrow"/>
                <w:b/>
                <w:bCs/>
                <w:color w:val="000000"/>
                <w:sz w:val="24"/>
                <w:szCs w:val="24"/>
              </w:rPr>
              <w:t>ÁMBITO DE APLICACIÓN Y SUJETOS A QUIENES VA DIRIGIDO</w:t>
            </w:r>
          </w:p>
          <w:p w14:paraId="42FE583B" w14:textId="77777777" w:rsidR="00685978" w:rsidRDefault="00000000">
            <w:pPr>
              <w:spacing w:before="280" w:after="280"/>
              <w:jc w:val="both"/>
              <w:rPr>
                <w:rFonts w:ascii="Arial Narrow" w:eastAsia="Arial Narrow" w:hAnsi="Arial Narrow" w:cs="Arial Narrow"/>
                <w:sz w:val="24"/>
                <w:szCs w:val="24"/>
              </w:rPr>
            </w:pPr>
            <w:r>
              <w:rPr>
                <w:rFonts w:ascii="Arial Narrow" w:eastAsia="Arial Narrow" w:hAnsi="Arial Narrow" w:cs="Arial Narrow"/>
                <w:sz w:val="24"/>
                <w:szCs w:val="24"/>
              </w:rPr>
              <w:t>La presente reglamentación será aplicable en todo el territorio nacional y tiene como finalidad adoptar lineamientos técnicos, operativos, pedagógicos y de articulación institucional para la implementación del Curso de Sensibilización contra el Maltrato Animal y de la Ruta de Atención al Maltrato Animal, en desarrollo de los artículos 8 y 24 de la Ley 2455 de 2025.</w:t>
            </w:r>
          </w:p>
          <w:p w14:paraId="328BA980" w14:textId="77777777" w:rsidR="00685978" w:rsidRDefault="00000000">
            <w:pPr>
              <w:spacing w:before="280" w:after="280"/>
              <w:jc w:val="both"/>
              <w:rPr>
                <w:rFonts w:ascii="Arial Narrow" w:eastAsia="Arial Narrow" w:hAnsi="Arial Narrow" w:cs="Arial Narrow"/>
                <w:sz w:val="24"/>
                <w:szCs w:val="24"/>
              </w:rPr>
            </w:pPr>
            <w:r>
              <w:rPr>
                <w:rFonts w:ascii="Arial Narrow" w:eastAsia="Arial Narrow" w:hAnsi="Arial Narrow" w:cs="Arial Narrow"/>
                <w:sz w:val="24"/>
                <w:szCs w:val="24"/>
              </w:rPr>
              <w:t>La Ruta de Atención al Maltrato Animal constituye un instrumento orientador de articulación institucional dirigido a fortalecer la coordinación entre las autoridades competentes frente a la prevención, atención, seguimiento y gestión de los casos de presunto maltrato animal, conforme a las competencias constitucionales y legales de cada entidad.</w:t>
            </w:r>
          </w:p>
          <w:p w14:paraId="32F253B7" w14:textId="77777777" w:rsidR="00685978" w:rsidRDefault="00000000">
            <w:pPr>
              <w:spacing w:before="280" w:after="280"/>
              <w:jc w:val="both"/>
              <w:rPr>
                <w:rFonts w:ascii="Arial Narrow" w:eastAsia="Arial Narrow" w:hAnsi="Arial Narrow" w:cs="Arial Narrow"/>
                <w:sz w:val="24"/>
                <w:szCs w:val="24"/>
              </w:rPr>
            </w:pPr>
            <w:r>
              <w:rPr>
                <w:rFonts w:ascii="Arial Narrow" w:eastAsia="Arial Narrow" w:hAnsi="Arial Narrow" w:cs="Arial Narrow"/>
                <w:sz w:val="24"/>
                <w:szCs w:val="24"/>
              </w:rPr>
              <w:t>Las disposiciones previstas en la presente reglamentación están dirigidas a las entidades que integran el Sistema Nacional de Protección y Bienestar Animal (SINAPYBA) –</w:t>
            </w:r>
            <w:r>
              <w:t xml:space="preserve"> </w:t>
            </w:r>
            <w:r>
              <w:rPr>
                <w:rFonts w:ascii="Arial Narrow" w:eastAsia="Arial Narrow" w:hAnsi="Arial Narrow" w:cs="Arial Narrow"/>
                <w:sz w:val="24"/>
                <w:szCs w:val="24"/>
              </w:rPr>
              <w:t>Art.  2.2.1.3A.1.3. Decreto 810 de 2025-, las entidades territoriales, las autoridades policivas, administrativas, judiciales, ambientales y sanitarias, así como a las demás entidades con competencias relacionadas con protección y bienestar animal.</w:t>
            </w:r>
          </w:p>
          <w:p w14:paraId="15826082" w14:textId="77777777" w:rsidR="00685978" w:rsidRDefault="00000000">
            <w:pPr>
              <w:spacing w:before="280" w:after="280"/>
              <w:jc w:val="both"/>
              <w:rPr>
                <w:rFonts w:ascii="Arial Narrow" w:eastAsia="Arial Narrow" w:hAnsi="Arial Narrow" w:cs="Arial Narrow"/>
                <w:sz w:val="24"/>
                <w:szCs w:val="24"/>
              </w:rPr>
            </w:pPr>
            <w:r>
              <w:rPr>
                <w:rFonts w:ascii="Arial Narrow" w:eastAsia="Arial Narrow" w:hAnsi="Arial Narrow" w:cs="Arial Narrow"/>
                <w:sz w:val="24"/>
                <w:szCs w:val="24"/>
              </w:rPr>
              <w:t xml:space="preserve">Igualmente, se dirige a juntas defensoras de animales, veedurías ciudadanas, organizaciones sin ánimo de lucro, prestadores de servicios relacionados con animales, personas naturales o jurídicas responsables de la tenencia, cuidado, </w:t>
            </w:r>
            <w:r>
              <w:rPr>
                <w:rFonts w:ascii="Arial Narrow" w:eastAsia="Arial Narrow" w:hAnsi="Arial Narrow" w:cs="Arial Narrow"/>
                <w:sz w:val="24"/>
                <w:szCs w:val="24"/>
              </w:rPr>
              <w:lastRenderedPageBreak/>
              <w:t>manejo, transporte, albergue o atención de animales, y demás actores sociales que participen en acciones de prevención, atención, protección o seguimiento de casos de maltrato animal.</w:t>
            </w:r>
          </w:p>
          <w:p w14:paraId="45BD2A93" w14:textId="77777777" w:rsidR="00685978" w:rsidRDefault="00000000">
            <w:pPr>
              <w:spacing w:before="280" w:after="280"/>
              <w:jc w:val="both"/>
              <w:rPr>
                <w:rFonts w:ascii="Arial Narrow" w:eastAsia="Arial Narrow" w:hAnsi="Arial Narrow" w:cs="Arial Narrow"/>
                <w:sz w:val="24"/>
                <w:szCs w:val="24"/>
              </w:rPr>
            </w:pPr>
            <w:r>
              <w:rPr>
                <w:rFonts w:ascii="Arial Narrow" w:eastAsia="Arial Narrow" w:hAnsi="Arial Narrow" w:cs="Arial Narrow"/>
                <w:sz w:val="24"/>
                <w:szCs w:val="24"/>
              </w:rPr>
              <w:t>Para el sector salud, la reglamentación tendrá alcance técnico en materia de vigilancia en salud pública, prevención y control de zoonosis, gestión del riesgo sanitario y acciones de promoción y prevención, en armonía con la Ley 9 de 1979 y las demás normas concordantes.</w:t>
            </w:r>
          </w:p>
          <w:p w14:paraId="051730F5" w14:textId="77777777" w:rsidR="00685978" w:rsidRDefault="00000000">
            <w:pPr>
              <w:pBdr>
                <w:top w:val="nil"/>
                <w:left w:val="nil"/>
                <w:bottom w:val="nil"/>
                <w:right w:val="nil"/>
                <w:between w:val="nil"/>
              </w:pBdr>
              <w:jc w:val="both"/>
              <w:rPr>
                <w:rFonts w:ascii="Arial Narrow" w:eastAsia="Arial Narrow" w:hAnsi="Arial Narrow" w:cs="Arial Narrow"/>
                <w:sz w:val="24"/>
                <w:szCs w:val="24"/>
              </w:rPr>
            </w:pPr>
            <w:r>
              <w:rPr>
                <w:rFonts w:ascii="Arial Narrow" w:eastAsia="Arial Narrow" w:hAnsi="Arial Narrow" w:cs="Arial Narrow"/>
                <w:sz w:val="24"/>
                <w:szCs w:val="24"/>
              </w:rPr>
              <w:t>La implementación de la Ruta de atención y el curso de sensibilización deberán desarrollarse conforme a las competencias constitucionales y legales, capacidades, disponibilidad operativa y particularidades territoriales de las entidades involucradas.</w:t>
            </w:r>
          </w:p>
          <w:p w14:paraId="65BDDB87" w14:textId="77777777" w:rsidR="00685978" w:rsidRDefault="00685978">
            <w:pPr>
              <w:pBdr>
                <w:top w:val="nil"/>
                <w:left w:val="nil"/>
                <w:bottom w:val="nil"/>
                <w:right w:val="nil"/>
                <w:between w:val="nil"/>
              </w:pBdr>
              <w:jc w:val="both"/>
              <w:rPr>
                <w:rFonts w:ascii="Arial Narrow" w:eastAsia="Arial Narrow" w:hAnsi="Arial Narrow" w:cs="Arial Narrow"/>
                <w:sz w:val="24"/>
                <w:szCs w:val="24"/>
              </w:rPr>
            </w:pPr>
          </w:p>
        </w:tc>
      </w:tr>
      <w:tr w:rsidR="00685978" w14:paraId="3BED7E8A" w14:textId="77777777">
        <w:trPr>
          <w:trHeight w:val="1033"/>
        </w:trPr>
        <w:tc>
          <w:tcPr>
            <w:tcW w:w="10785" w:type="dxa"/>
            <w:gridSpan w:val="3"/>
            <w:tcBorders>
              <w:top w:val="single" w:sz="4" w:space="0" w:color="000000"/>
              <w:left w:val="single" w:sz="4" w:space="0" w:color="000000"/>
              <w:bottom w:val="single" w:sz="4" w:space="0" w:color="000000"/>
              <w:right w:val="single" w:sz="4" w:space="0" w:color="000000"/>
            </w:tcBorders>
            <w:shd w:val="clear" w:color="auto" w:fill="FFFFFF"/>
            <w:tcMar>
              <w:top w:w="57" w:type="dxa"/>
              <w:left w:w="85" w:type="dxa"/>
              <w:bottom w:w="57" w:type="dxa"/>
              <w:right w:w="85" w:type="dxa"/>
            </w:tcMar>
            <w:vAlign w:val="center"/>
          </w:tcPr>
          <w:p w14:paraId="52D0B0EB" w14:textId="77777777" w:rsidR="00685978" w:rsidRDefault="00000000">
            <w:pPr>
              <w:jc w:val="both"/>
              <w:rPr>
                <w:rFonts w:ascii="Arial Narrow" w:eastAsia="Arial Narrow" w:hAnsi="Arial Narrow" w:cs="Arial Narrow"/>
                <w:b/>
                <w:bCs/>
                <w:sz w:val="22"/>
                <w:szCs w:val="22"/>
              </w:rPr>
            </w:pPr>
            <w:r>
              <w:rPr>
                <w:rFonts w:ascii="Arial Narrow" w:eastAsia="Arial Narrow" w:hAnsi="Arial Narrow" w:cs="Arial Narrow"/>
                <w:b/>
                <w:bCs/>
                <w:sz w:val="22"/>
                <w:szCs w:val="22"/>
              </w:rPr>
              <w:lastRenderedPageBreak/>
              <w:t>VIABILIDAD JURÍDICA</w:t>
            </w:r>
          </w:p>
          <w:p w14:paraId="2B1FFAD8" w14:textId="77777777" w:rsidR="00685978" w:rsidRDefault="00685978">
            <w:pPr>
              <w:jc w:val="both"/>
              <w:rPr>
                <w:rFonts w:ascii="Arial Narrow" w:eastAsia="Arial Narrow" w:hAnsi="Arial Narrow" w:cs="Arial Narrow"/>
                <w:b/>
                <w:bCs/>
                <w:sz w:val="22"/>
                <w:szCs w:val="22"/>
              </w:rPr>
            </w:pPr>
          </w:p>
          <w:p w14:paraId="04E6F149" w14:textId="77777777" w:rsidR="00685978" w:rsidRDefault="00000000">
            <w:pPr>
              <w:jc w:val="both"/>
              <w:rPr>
                <w:rFonts w:ascii="Arial Narrow" w:eastAsia="Arial Narrow" w:hAnsi="Arial Narrow" w:cs="Arial Narrow"/>
                <w:sz w:val="24"/>
                <w:szCs w:val="24"/>
              </w:rPr>
            </w:pPr>
            <w:r>
              <w:rPr>
                <w:rFonts w:ascii="Arial Narrow" w:eastAsia="Arial Narrow" w:hAnsi="Arial Narrow" w:cs="Arial Narrow"/>
                <w:sz w:val="24"/>
                <w:szCs w:val="24"/>
              </w:rPr>
              <w:t>La viabilidad jurídica del presente proyecto normativo se sustenta en las facultades constitucionales y legales conferidas al Ministerio de Ambiente y Desarrollo Sostenible, al Ministerio de Agricultura y Desarrollo Rural, al Ministerio de Salud y Protección Social, al Ministerio de Transporte y al Departamento Nacional de Planeación, en especial las previstas en el Decreto Ley 3570 de 2011, el Decreto Ley 1985 de 2013, el Decreto  0120 de 2026, el Decreto 1773 de 2018, el Decreto 1893 de 2021 y el Decreto 0810 de 2025, en desarrollo de los artículos 8 y 24 de la Ley 2455 de 2025.</w:t>
            </w:r>
          </w:p>
          <w:p w14:paraId="2AC33591" w14:textId="77777777" w:rsidR="00685978" w:rsidRDefault="00685978">
            <w:pPr>
              <w:jc w:val="both"/>
              <w:rPr>
                <w:rFonts w:ascii="Arial Narrow" w:eastAsia="Arial Narrow" w:hAnsi="Arial Narrow" w:cs="Arial Narrow"/>
                <w:sz w:val="24"/>
                <w:szCs w:val="24"/>
              </w:rPr>
            </w:pPr>
          </w:p>
          <w:p w14:paraId="1DEAD06C" w14:textId="77777777" w:rsidR="00685978" w:rsidRDefault="00000000">
            <w:pPr>
              <w:jc w:val="both"/>
              <w:rPr>
                <w:rFonts w:ascii="Arial Narrow" w:eastAsia="Arial Narrow" w:hAnsi="Arial Narrow" w:cs="Arial Narrow"/>
                <w:sz w:val="24"/>
                <w:szCs w:val="24"/>
              </w:rPr>
            </w:pPr>
            <w:r>
              <w:rPr>
                <w:rFonts w:ascii="Arial Narrow" w:eastAsia="Arial Narrow" w:hAnsi="Arial Narrow" w:cs="Arial Narrow"/>
                <w:sz w:val="24"/>
                <w:szCs w:val="24"/>
              </w:rPr>
              <w:t>La Ley 2455 de 2025, establece la adopción del Curso de Sensibilización contra el Maltrato Animal como medida para la reducción de la multa derivada de conductas de maltrato animal, así como la implementación de la Ruta de Atención al Maltrato Animal, como instrumentos orientados a fortalecer la prevención, atención y articulación institucional frente a los casos de presunto maltrato animal. En particular, el artículo 24 reconoce la Ruta como un instrumento orientador para formalizar la actuación coordinada entre las entidades competentes del orden nacional y territorial, conforme a las competencias constitucionales y legales de cada autoridad.</w:t>
            </w:r>
          </w:p>
          <w:p w14:paraId="544A836B" w14:textId="77777777" w:rsidR="00685978" w:rsidRDefault="00000000">
            <w:pPr>
              <w:spacing w:before="280" w:after="280"/>
              <w:jc w:val="both"/>
              <w:rPr>
                <w:rFonts w:ascii="Arial Narrow" w:eastAsia="Arial Narrow" w:hAnsi="Arial Narrow" w:cs="Arial Narrow"/>
                <w:sz w:val="24"/>
                <w:szCs w:val="24"/>
              </w:rPr>
            </w:pPr>
            <w:r>
              <w:rPr>
                <w:rFonts w:ascii="Arial Narrow" w:eastAsia="Arial Narrow" w:hAnsi="Arial Narrow" w:cs="Arial Narrow"/>
                <w:sz w:val="24"/>
                <w:szCs w:val="24"/>
              </w:rPr>
              <w:t>En ese sentido, el presente proyecto normativo no crea nuevas competencias administrativas, policivas, judiciales o sancionatorias, ni modifica las funciones atribuidas por la Constitución Política y la ley a las distintas entidades intervinientes. Su contenido se limita a desarrollar lineamientos técnicos, operativos, pedagógicos y de articulación institucional para facilitar la implementación de la Ley 2455 de 2025, respetando la autonomía territorial y el marco competencial vigente.</w:t>
            </w:r>
          </w:p>
          <w:p w14:paraId="49A084F3" w14:textId="77777777" w:rsidR="00685978" w:rsidRDefault="00000000">
            <w:pPr>
              <w:spacing w:before="280" w:after="280"/>
              <w:jc w:val="both"/>
              <w:rPr>
                <w:rFonts w:ascii="Arial Narrow" w:eastAsia="Arial Narrow" w:hAnsi="Arial Narrow" w:cs="Arial Narrow"/>
                <w:sz w:val="24"/>
                <w:szCs w:val="24"/>
              </w:rPr>
            </w:pPr>
            <w:r>
              <w:rPr>
                <w:rFonts w:ascii="Arial Narrow" w:eastAsia="Arial Narrow" w:hAnsi="Arial Narrow" w:cs="Arial Narrow"/>
                <w:sz w:val="24"/>
                <w:szCs w:val="24"/>
              </w:rPr>
              <w:t>Así mismo, la reglamentación reconoce expresamente que la implementación de la Ruta deberá desarrollarse conforme a las capacidades institucionales, técnicas, operativas y presupuestales de las entidades territoriales y autoridades competentes, bajo criterios de coordinación, concurrencia y progresividad.</w:t>
            </w:r>
          </w:p>
          <w:p w14:paraId="2E193964" w14:textId="77777777" w:rsidR="00685978" w:rsidRDefault="00000000">
            <w:pPr>
              <w:spacing w:before="280" w:after="280"/>
              <w:jc w:val="both"/>
              <w:rPr>
                <w:rFonts w:ascii="Arial Narrow" w:eastAsia="Arial Narrow" w:hAnsi="Arial Narrow" w:cs="Arial Narrow"/>
                <w:sz w:val="24"/>
                <w:szCs w:val="24"/>
              </w:rPr>
            </w:pPr>
            <w:r>
              <w:rPr>
                <w:rFonts w:ascii="Arial Narrow" w:eastAsia="Arial Narrow" w:hAnsi="Arial Narrow" w:cs="Arial Narrow"/>
                <w:sz w:val="24"/>
                <w:szCs w:val="24"/>
              </w:rPr>
              <w:t>Para el sector salud, la reglamentación tiene alcance técnico en materia de vigilancia en salud pública, prevención y control de zoonosis, gestión del riesgo sanitario y acciones de promoción y prevención, en armonía con la Ley 9 de 1979, el Decreto 0120 de 2026 y las demás disposiciones aplicables, sin que ello implique asumir competencias propias de las autoridades policivas, ambientales o judiciales.</w:t>
            </w:r>
          </w:p>
          <w:p w14:paraId="18BB8660" w14:textId="77777777" w:rsidR="00685978" w:rsidRDefault="00000000">
            <w:pPr>
              <w:spacing w:before="280" w:after="280"/>
              <w:jc w:val="both"/>
              <w:rPr>
                <w:rFonts w:ascii="Arial Narrow" w:eastAsia="Arial Narrow" w:hAnsi="Arial Narrow" w:cs="Arial Narrow"/>
                <w:sz w:val="24"/>
                <w:szCs w:val="24"/>
              </w:rPr>
            </w:pPr>
            <w:r>
              <w:rPr>
                <w:rFonts w:ascii="Arial Narrow" w:eastAsia="Arial Narrow" w:hAnsi="Arial Narrow" w:cs="Arial Narrow"/>
                <w:sz w:val="24"/>
                <w:szCs w:val="24"/>
              </w:rPr>
              <w:lastRenderedPageBreak/>
              <w:t>El proyecto normativo se articula igualmente con las Leyes 84 de 1989, 1774 de 2016, 1801 de 2016, 2294 de 2023 y 576 de 2000, así como con las disposiciones relacionadas con protección animal, salud pública, convivencia y articulación institucional vigentes en el ordenamiento jurídico colombiano.</w:t>
            </w:r>
          </w:p>
          <w:p w14:paraId="6D1ECA91" w14:textId="77777777" w:rsidR="00685978" w:rsidRDefault="00000000">
            <w:pPr>
              <w:spacing w:before="280" w:after="280"/>
              <w:jc w:val="both"/>
              <w:rPr>
                <w:rFonts w:ascii="Arial Narrow" w:eastAsia="Arial Narrow" w:hAnsi="Arial Narrow" w:cs="Arial Narrow"/>
                <w:sz w:val="24"/>
                <w:szCs w:val="24"/>
              </w:rPr>
            </w:pPr>
            <w:r>
              <w:rPr>
                <w:rFonts w:ascii="Arial Narrow" w:eastAsia="Arial Narrow" w:hAnsi="Arial Narrow" w:cs="Arial Narrow"/>
                <w:sz w:val="24"/>
                <w:szCs w:val="24"/>
              </w:rPr>
              <w:t>En consecuencia, la reglamentación propuesta resulta jurídicamente viable, necesaria y proporcional, en tanto desarrolla mandatos expresamente previstos en la Ley 2455 de 2025, fortalece la coordinación interinstitucional y establece lineamientos técnicos orientados a mejorar la prevención y atención de los casos de presunto maltrato animal, sin exceder el marco competencial definido por el ordenamiento jurídico vigente.</w:t>
            </w:r>
          </w:p>
          <w:p w14:paraId="514E17A2" w14:textId="77777777" w:rsidR="00685978" w:rsidRDefault="00685978">
            <w:pPr>
              <w:jc w:val="both"/>
              <w:rPr>
                <w:rFonts w:ascii="Arial Narrow" w:eastAsia="Arial Narrow" w:hAnsi="Arial Narrow" w:cs="Arial Narrow"/>
                <w:sz w:val="24"/>
                <w:szCs w:val="24"/>
              </w:rPr>
            </w:pPr>
          </w:p>
        </w:tc>
      </w:tr>
      <w:tr w:rsidR="00685978" w14:paraId="329BA50F" w14:textId="77777777">
        <w:trPr>
          <w:trHeight w:val="1594"/>
        </w:trPr>
        <w:tc>
          <w:tcPr>
            <w:tcW w:w="10785" w:type="dxa"/>
            <w:gridSpan w:val="3"/>
            <w:tcBorders>
              <w:top w:val="single" w:sz="4" w:space="0" w:color="000000"/>
              <w:left w:val="single" w:sz="4" w:space="0" w:color="000000"/>
              <w:bottom w:val="single" w:sz="4" w:space="0" w:color="000000"/>
              <w:right w:val="single" w:sz="4" w:space="0" w:color="000000"/>
            </w:tcBorders>
            <w:shd w:val="clear" w:color="auto" w:fill="FFFFFF"/>
            <w:tcMar>
              <w:top w:w="57" w:type="dxa"/>
              <w:left w:w="85" w:type="dxa"/>
              <w:bottom w:w="57" w:type="dxa"/>
              <w:right w:w="85" w:type="dxa"/>
            </w:tcMar>
            <w:vAlign w:val="center"/>
          </w:tcPr>
          <w:p w14:paraId="211C420F" w14:textId="77777777" w:rsidR="00685978" w:rsidRDefault="00000000">
            <w:pPr>
              <w:numPr>
                <w:ilvl w:val="0"/>
                <w:numId w:val="1"/>
              </w:numPr>
              <w:pBdr>
                <w:top w:val="nil"/>
                <w:left w:val="nil"/>
                <w:bottom w:val="nil"/>
                <w:right w:val="nil"/>
                <w:between w:val="nil"/>
              </w:pBdr>
              <w:jc w:val="both"/>
              <w:rPr>
                <w:rFonts w:ascii="Arial Narrow" w:eastAsia="Arial Narrow" w:hAnsi="Arial Narrow" w:cs="Arial Narrow"/>
                <w:sz w:val="24"/>
                <w:szCs w:val="24"/>
              </w:rPr>
            </w:pPr>
            <w:r>
              <w:rPr>
                <w:rFonts w:ascii="Arial Narrow" w:eastAsia="Arial Narrow" w:hAnsi="Arial Narrow" w:cs="Arial Narrow"/>
                <w:b/>
                <w:bCs/>
                <w:sz w:val="22"/>
                <w:szCs w:val="22"/>
              </w:rPr>
              <w:lastRenderedPageBreak/>
              <w:t xml:space="preserve">IMPACTO ECONÓMICO </w:t>
            </w:r>
            <w:r>
              <w:rPr>
                <w:rFonts w:ascii="Arial Narrow" w:eastAsia="Arial Narrow" w:hAnsi="Arial Narrow" w:cs="Arial Narrow"/>
                <w:sz w:val="22"/>
                <w:szCs w:val="22"/>
              </w:rPr>
              <w:t>(Si se requiere)</w:t>
            </w:r>
          </w:p>
          <w:p w14:paraId="541F0FB1" w14:textId="77777777" w:rsidR="00685978" w:rsidRDefault="00685978">
            <w:pPr>
              <w:jc w:val="both"/>
              <w:rPr>
                <w:rFonts w:ascii="Arial Narrow" w:eastAsia="Arial Narrow" w:hAnsi="Arial Narrow" w:cs="Arial Narrow"/>
                <w:sz w:val="24"/>
                <w:szCs w:val="24"/>
              </w:rPr>
            </w:pPr>
          </w:p>
          <w:p w14:paraId="46A9D5C3" w14:textId="77777777" w:rsidR="00685978" w:rsidRDefault="00000000">
            <w:pPr>
              <w:jc w:val="both"/>
              <w:rPr>
                <w:rFonts w:ascii="Arial Narrow" w:eastAsia="Arial Narrow" w:hAnsi="Arial Narrow" w:cs="Arial Narrow"/>
                <w:sz w:val="24"/>
                <w:szCs w:val="24"/>
              </w:rPr>
            </w:pPr>
            <w:r>
              <w:rPr>
                <w:rFonts w:ascii="Arial Narrow" w:eastAsia="Arial Narrow" w:hAnsi="Arial Narrow" w:cs="Arial Narrow"/>
                <w:sz w:val="24"/>
                <w:szCs w:val="24"/>
              </w:rPr>
              <w:t>La presente resolución no genera impactos económicos directos para la Nación, ni establece nuevas cargas económicas obligatorias para las entidades del orden nacional, en tanto su objeto consiste en adoptar lineamientos técnicos, pedagógicos y mecanismos orientadores de articulación institucional en desarrollo de los artículos 8 y 24 de la Ley 2455 de 2025.</w:t>
            </w:r>
          </w:p>
          <w:p w14:paraId="7C7A7938" w14:textId="77777777" w:rsidR="00685978" w:rsidRDefault="00685978">
            <w:pPr>
              <w:jc w:val="both"/>
              <w:rPr>
                <w:rFonts w:ascii="Arial Narrow" w:eastAsia="Arial Narrow" w:hAnsi="Arial Narrow" w:cs="Arial Narrow"/>
                <w:sz w:val="24"/>
                <w:szCs w:val="24"/>
              </w:rPr>
            </w:pPr>
          </w:p>
          <w:p w14:paraId="01896251" w14:textId="77777777" w:rsidR="00685978" w:rsidRDefault="00000000">
            <w:pPr>
              <w:jc w:val="both"/>
              <w:rPr>
                <w:rFonts w:ascii="Arial Narrow" w:eastAsia="Arial Narrow" w:hAnsi="Arial Narrow" w:cs="Arial Narrow"/>
                <w:sz w:val="24"/>
                <w:szCs w:val="24"/>
              </w:rPr>
            </w:pPr>
            <w:r>
              <w:rPr>
                <w:rFonts w:ascii="Arial Narrow" w:eastAsia="Arial Narrow" w:hAnsi="Arial Narrow" w:cs="Arial Narrow"/>
                <w:sz w:val="24"/>
                <w:szCs w:val="24"/>
              </w:rPr>
              <w:t>De conformidad con el artículo 8 de la Ley 2455 de 2025, corresponde a las alcaldías municipales y distritales impartir el Curso de Sensibilización contra el Maltrato Animal. Así mismo, el parágrafo 1 del artículo 24 de la misma ley establece que los entes territoriales deberán adoptar mediante acto administrativo, la Ruta de Atención al Maltrato Animal, de acuerdo con las características específicas de cada territorio.</w:t>
            </w:r>
          </w:p>
          <w:p w14:paraId="0E8D7267" w14:textId="77777777" w:rsidR="00685978" w:rsidRDefault="00685978">
            <w:pPr>
              <w:jc w:val="both"/>
              <w:rPr>
                <w:rFonts w:ascii="Arial Narrow" w:eastAsia="Arial Narrow" w:hAnsi="Arial Narrow" w:cs="Arial Narrow"/>
                <w:sz w:val="24"/>
                <w:szCs w:val="24"/>
              </w:rPr>
            </w:pPr>
          </w:p>
          <w:p w14:paraId="636A9D01" w14:textId="77777777" w:rsidR="00685978" w:rsidRDefault="00000000">
            <w:pPr>
              <w:jc w:val="both"/>
              <w:rPr>
                <w:rFonts w:ascii="Arial Narrow" w:eastAsia="Arial Narrow" w:hAnsi="Arial Narrow" w:cs="Arial Narrow"/>
                <w:sz w:val="24"/>
                <w:szCs w:val="24"/>
              </w:rPr>
            </w:pPr>
            <w:r>
              <w:rPr>
                <w:rFonts w:ascii="Arial Narrow" w:eastAsia="Arial Narrow" w:hAnsi="Arial Narrow" w:cs="Arial Narrow"/>
                <w:sz w:val="24"/>
                <w:szCs w:val="24"/>
              </w:rPr>
              <w:t>En consecuencia, los posibles impactos económicos, administrativos u operativos asociados a la implementación del Curso de Sensibilización y de la Ruta de Atención al Maltrato Animal, previsto en la Ley 2455 de 2025 la cual dependerá de las capacidades institucionales, decisiones administrativas, mecanismos de articulación y disponibilidad presupuestal de cada entidad territorial.</w:t>
            </w:r>
          </w:p>
          <w:p w14:paraId="0C160E90" w14:textId="77777777" w:rsidR="00685978" w:rsidRDefault="00000000">
            <w:pPr>
              <w:spacing w:before="280" w:after="280"/>
              <w:jc w:val="both"/>
              <w:rPr>
                <w:rFonts w:ascii="Arial Narrow" w:eastAsia="Arial Narrow" w:hAnsi="Arial Narrow" w:cs="Arial Narrow"/>
                <w:sz w:val="24"/>
                <w:szCs w:val="24"/>
              </w:rPr>
            </w:pPr>
            <w:r>
              <w:rPr>
                <w:rFonts w:ascii="Arial Narrow" w:eastAsia="Arial Narrow" w:hAnsi="Arial Narrow" w:cs="Arial Narrow"/>
                <w:sz w:val="24"/>
                <w:szCs w:val="24"/>
              </w:rPr>
              <w:t>La presente reglamentación no crea obligaciones adicionales de gasto distintas a las ya previstas por el legislador, ni establece fuentes nuevas de financiación. No obstante, la Ley 2455 de 2025, prevé mecanismos orientados al fortalecimiento de las capacidades territoriales para la atención de los casos de maltrato animal, incluyendo la destinación de recursos provenientes de multas y demás medidas económicas previstas en la ley, conforme a las competencias y disposiciones aplicables a las entidades territoriales.</w:t>
            </w:r>
          </w:p>
          <w:p w14:paraId="4539685A" w14:textId="77777777" w:rsidR="00685978" w:rsidRDefault="00000000">
            <w:pPr>
              <w:spacing w:before="280" w:after="280"/>
              <w:jc w:val="both"/>
              <w:rPr>
                <w:rFonts w:ascii="Arial Narrow" w:eastAsia="Arial Narrow" w:hAnsi="Arial Narrow" w:cs="Arial Narrow"/>
                <w:sz w:val="24"/>
                <w:szCs w:val="24"/>
              </w:rPr>
            </w:pPr>
            <w:r>
              <w:rPr>
                <w:rFonts w:ascii="Arial Narrow" w:eastAsia="Arial Narrow" w:hAnsi="Arial Narrow" w:cs="Arial Narrow"/>
                <w:sz w:val="24"/>
                <w:szCs w:val="24"/>
              </w:rPr>
              <w:t>En ese sentido, la implementación progresiva de la Ruta podrá articularse con los instrumentos financieros, mecanismos de gestión y esquemas de fortalecimiento institucional previstos en la Ley 2455 de 2025 y en las demás disposiciones vigentes en materia de protección y bienestar animal.</w:t>
            </w:r>
          </w:p>
          <w:p w14:paraId="46652DD2" w14:textId="77777777" w:rsidR="00685978" w:rsidRDefault="00685978">
            <w:pPr>
              <w:jc w:val="both"/>
              <w:rPr>
                <w:rFonts w:ascii="Arial Narrow" w:eastAsia="Arial Narrow" w:hAnsi="Arial Narrow" w:cs="Arial Narrow"/>
                <w:sz w:val="24"/>
                <w:szCs w:val="24"/>
              </w:rPr>
            </w:pPr>
          </w:p>
        </w:tc>
      </w:tr>
      <w:tr w:rsidR="00685978" w14:paraId="070126D4" w14:textId="77777777">
        <w:trPr>
          <w:trHeight w:val="66"/>
        </w:trPr>
        <w:tc>
          <w:tcPr>
            <w:tcW w:w="10785" w:type="dxa"/>
            <w:gridSpan w:val="3"/>
            <w:tcBorders>
              <w:top w:val="single" w:sz="4" w:space="0" w:color="000000"/>
              <w:left w:val="single" w:sz="4" w:space="0" w:color="000000"/>
              <w:bottom w:val="single" w:sz="4" w:space="0" w:color="000000"/>
              <w:right w:val="single" w:sz="4" w:space="0" w:color="000000"/>
            </w:tcBorders>
            <w:shd w:val="clear" w:color="auto" w:fill="FFFFFF"/>
            <w:vAlign w:val="center"/>
          </w:tcPr>
          <w:p w14:paraId="18180D23" w14:textId="77777777" w:rsidR="00685978" w:rsidRDefault="00000000">
            <w:pPr>
              <w:numPr>
                <w:ilvl w:val="0"/>
                <w:numId w:val="1"/>
              </w:numPr>
              <w:pBdr>
                <w:top w:val="nil"/>
                <w:left w:val="nil"/>
                <w:bottom w:val="nil"/>
                <w:right w:val="nil"/>
                <w:between w:val="nil"/>
              </w:pBdr>
              <w:jc w:val="both"/>
              <w:rPr>
                <w:rFonts w:ascii="Arial Narrow" w:eastAsia="Arial Narrow" w:hAnsi="Arial Narrow" w:cs="Arial Narrow"/>
                <w:b/>
                <w:bCs/>
                <w:sz w:val="22"/>
                <w:szCs w:val="22"/>
              </w:rPr>
            </w:pPr>
            <w:r>
              <w:rPr>
                <w:rFonts w:ascii="Arial Narrow" w:eastAsia="Arial Narrow" w:hAnsi="Arial Narrow" w:cs="Arial Narrow"/>
                <w:b/>
                <w:bCs/>
                <w:sz w:val="22"/>
                <w:szCs w:val="22"/>
              </w:rPr>
              <w:t xml:space="preserve">VIABILIDAD O DISPONIBILIDAD PRESUPUESTAL </w:t>
            </w:r>
          </w:p>
          <w:p w14:paraId="6DBCC5A3" w14:textId="77777777" w:rsidR="00685978" w:rsidRDefault="00685978">
            <w:pPr>
              <w:jc w:val="both"/>
              <w:rPr>
                <w:rFonts w:ascii="Arial Narrow" w:eastAsia="Arial Narrow" w:hAnsi="Arial Narrow" w:cs="Arial Narrow"/>
                <w:sz w:val="24"/>
                <w:szCs w:val="24"/>
              </w:rPr>
            </w:pPr>
          </w:p>
          <w:p w14:paraId="7DF6FAD1" w14:textId="77777777" w:rsidR="00685978" w:rsidRDefault="00000000">
            <w:pPr>
              <w:jc w:val="both"/>
              <w:rPr>
                <w:rFonts w:ascii="Arial Narrow" w:eastAsia="Arial Narrow" w:hAnsi="Arial Narrow" w:cs="Arial Narrow"/>
                <w:sz w:val="24"/>
                <w:szCs w:val="24"/>
              </w:rPr>
            </w:pPr>
            <w:r>
              <w:rPr>
                <w:rFonts w:ascii="Arial Narrow" w:eastAsia="Arial Narrow" w:hAnsi="Arial Narrow" w:cs="Arial Narrow"/>
                <w:sz w:val="24"/>
                <w:szCs w:val="24"/>
              </w:rPr>
              <w:t>No aplica</w:t>
            </w:r>
          </w:p>
        </w:tc>
      </w:tr>
      <w:tr w:rsidR="00685978" w14:paraId="011DBCDE" w14:textId="77777777">
        <w:trPr>
          <w:trHeight w:val="687"/>
        </w:trPr>
        <w:tc>
          <w:tcPr>
            <w:tcW w:w="10785" w:type="dxa"/>
            <w:gridSpan w:val="3"/>
            <w:tcBorders>
              <w:top w:val="single" w:sz="4" w:space="0" w:color="000000"/>
              <w:bottom w:val="single" w:sz="4" w:space="0" w:color="000000"/>
            </w:tcBorders>
            <w:shd w:val="clear" w:color="auto" w:fill="FFFFFF"/>
            <w:vAlign w:val="center"/>
          </w:tcPr>
          <w:p w14:paraId="523B5314" w14:textId="77777777" w:rsidR="00685978" w:rsidRDefault="00000000">
            <w:pPr>
              <w:numPr>
                <w:ilvl w:val="0"/>
                <w:numId w:val="1"/>
              </w:numPr>
              <w:pBdr>
                <w:top w:val="nil"/>
                <w:left w:val="nil"/>
                <w:bottom w:val="nil"/>
                <w:right w:val="nil"/>
                <w:between w:val="nil"/>
              </w:pBdr>
              <w:jc w:val="both"/>
              <w:rPr>
                <w:rFonts w:ascii="Arial Narrow" w:eastAsia="Arial Narrow" w:hAnsi="Arial Narrow" w:cs="Arial Narrow"/>
                <w:b/>
                <w:bCs/>
                <w:sz w:val="22"/>
                <w:szCs w:val="22"/>
              </w:rPr>
            </w:pPr>
            <w:r>
              <w:rPr>
                <w:rFonts w:ascii="Arial Narrow" w:eastAsia="Arial Narrow" w:hAnsi="Arial Narrow" w:cs="Arial Narrow"/>
                <w:b/>
                <w:bCs/>
                <w:sz w:val="22"/>
                <w:szCs w:val="22"/>
              </w:rPr>
              <w:lastRenderedPageBreak/>
              <w:t xml:space="preserve">IMPACTO MEDIOAMBIENTAL O SOBRE EL PATRIMONIO CULTURAL DE LA NACIÓN </w:t>
            </w:r>
          </w:p>
          <w:p w14:paraId="48EF0BB8" w14:textId="77777777" w:rsidR="00685978" w:rsidRDefault="00000000">
            <w:pPr>
              <w:spacing w:before="280" w:after="280"/>
              <w:jc w:val="both"/>
              <w:rPr>
                <w:rFonts w:ascii="Arial Narrow" w:eastAsia="Arial Narrow" w:hAnsi="Arial Narrow" w:cs="Arial Narrow"/>
                <w:sz w:val="24"/>
                <w:szCs w:val="24"/>
              </w:rPr>
            </w:pPr>
            <w:r>
              <w:rPr>
                <w:rFonts w:ascii="Arial Narrow" w:eastAsia="Arial Narrow" w:hAnsi="Arial Narrow" w:cs="Arial Narrow"/>
                <w:sz w:val="24"/>
                <w:szCs w:val="24"/>
              </w:rPr>
              <w:t>La implementación de la Ley 2455 de 2025 genera impactos ambientales positivos indirectos, derivados del fortalecimiento de las medidas de prevención, atención y articulación institucional frente a situaciones de maltrato animal que puedan afectar la salud pública, la fauna silvestre, los ecosistemas y las dinámicas de interacción humano-animal en entornos urbanos, rurales y periurbanos. Aunque la Ley no constituye una norma ambiental en sentido estricto, su implementación contribuye a reducir factores de presión antrópica asociados al abandono, negligencia, manejo inadecuado de animales y afectaciones sobre fauna silvestre, mitigando riesgos relacionados con transmisión de enfermedades, interacción conflictiva con especies nativas, deterioro sanitario y afectaciones sobre ecosistemas sensibles.</w:t>
            </w:r>
          </w:p>
          <w:p w14:paraId="15A16970" w14:textId="77777777" w:rsidR="00685978" w:rsidRDefault="00000000">
            <w:pPr>
              <w:spacing w:before="280" w:after="280"/>
              <w:jc w:val="both"/>
              <w:rPr>
                <w:rFonts w:ascii="Arial Narrow" w:eastAsia="Arial Narrow" w:hAnsi="Arial Narrow" w:cs="Arial Narrow"/>
                <w:sz w:val="24"/>
                <w:szCs w:val="24"/>
              </w:rPr>
            </w:pPr>
            <w:r>
              <w:rPr>
                <w:rFonts w:ascii="Arial Narrow" w:eastAsia="Arial Narrow" w:hAnsi="Arial Narrow" w:cs="Arial Narrow"/>
                <w:sz w:val="24"/>
                <w:szCs w:val="24"/>
              </w:rPr>
              <w:t>La Ruta de Atención al Maltrato Animal fortalece la articulación entre autoridades ambientales, sanitarias, policivas y judiciales, conforme a sus competencias, para la atención de casos que involucren animales domésticos y, cuando corresponda, fauna silvestre. Lo anterior favorece una respuesta institucional más coordinada frente a situaciones con posible impacto ambiental, sanitario o ecológico, incluyendo eventos asociados a tráfico de fauna, tenencia ilegal, acumulación de animales, manejo inadecuado de residuos biológicos o afectaciones derivadas de contextos de riesgo sanitario. Así mismo, las acciones pedagógicas y de sensibilización previstas en la Ley 2455 de 2025, contribuyen al fortalecimiento de prácticas de tenencia responsable, cultura de cuidado y prevención de conductas que puedan generar afectaciones ambientales o sanitarias, promoviendo relaciones más sostenibles entre las personas, los animales y el entorno.</w:t>
            </w:r>
          </w:p>
          <w:p w14:paraId="6C56AE20" w14:textId="77777777" w:rsidR="00685978" w:rsidRDefault="00000000">
            <w:pPr>
              <w:spacing w:before="280" w:after="280"/>
              <w:jc w:val="both"/>
              <w:rPr>
                <w:rFonts w:ascii="Arial Narrow" w:eastAsia="Arial Narrow" w:hAnsi="Arial Narrow" w:cs="Arial Narrow"/>
                <w:sz w:val="24"/>
                <w:szCs w:val="24"/>
              </w:rPr>
            </w:pPr>
            <w:r>
              <w:rPr>
                <w:rFonts w:ascii="Arial Narrow" w:eastAsia="Arial Narrow" w:hAnsi="Arial Narrow" w:cs="Arial Narrow"/>
                <w:sz w:val="24"/>
                <w:szCs w:val="24"/>
              </w:rPr>
              <w:t>La implementación de la reglamentación deberá desarrollarse conforme a los principios de prevención del riesgo, protección del bienestar animal, bioseguridad y sostenibilidad ambiental, procurando el manejo adecuado de residuos, insumos y actuaciones relacionadas con atención, traslado, custodia o intervención de animales.</w:t>
            </w:r>
          </w:p>
          <w:p w14:paraId="5462E38E" w14:textId="77777777" w:rsidR="00685978" w:rsidRDefault="00000000">
            <w:pPr>
              <w:spacing w:before="280" w:after="280"/>
              <w:jc w:val="both"/>
              <w:rPr>
                <w:rFonts w:ascii="Arial Narrow" w:eastAsia="Arial Narrow" w:hAnsi="Arial Narrow" w:cs="Arial Narrow"/>
                <w:sz w:val="24"/>
                <w:szCs w:val="24"/>
              </w:rPr>
            </w:pPr>
            <w:r>
              <w:rPr>
                <w:rFonts w:ascii="Arial Narrow" w:eastAsia="Arial Narrow" w:hAnsi="Arial Narrow" w:cs="Arial Narrow"/>
                <w:sz w:val="24"/>
                <w:szCs w:val="24"/>
              </w:rPr>
              <w:t>En consecuencia, la Ley 2455 de 2025 y su reglamentación generan un impacto ambiental favorable, en tanto fortalecen la protección animal, contribuyen a la prevención de riesgos sanitarios y ecológicos, promueven mecanismos de articulación institucional y respaldan enfoques integrales como Una Salud (</w:t>
            </w:r>
            <w:proofErr w:type="spellStart"/>
            <w:r>
              <w:rPr>
                <w:rFonts w:ascii="Arial Narrow" w:eastAsia="Arial Narrow" w:hAnsi="Arial Narrow" w:cs="Arial Narrow"/>
                <w:sz w:val="24"/>
                <w:szCs w:val="24"/>
              </w:rPr>
              <w:t>One</w:t>
            </w:r>
            <w:proofErr w:type="spellEnd"/>
            <w:r>
              <w:rPr>
                <w:rFonts w:ascii="Arial Narrow" w:eastAsia="Arial Narrow" w:hAnsi="Arial Narrow" w:cs="Arial Narrow"/>
                <w:sz w:val="24"/>
                <w:szCs w:val="24"/>
              </w:rPr>
              <w:t xml:space="preserve"> </w:t>
            </w:r>
            <w:proofErr w:type="spellStart"/>
            <w:r>
              <w:rPr>
                <w:rFonts w:ascii="Arial Narrow" w:eastAsia="Arial Narrow" w:hAnsi="Arial Narrow" w:cs="Arial Narrow"/>
                <w:sz w:val="24"/>
                <w:szCs w:val="24"/>
              </w:rPr>
              <w:t>Health</w:t>
            </w:r>
            <w:proofErr w:type="spellEnd"/>
            <w:r>
              <w:rPr>
                <w:rFonts w:ascii="Arial Narrow" w:eastAsia="Arial Narrow" w:hAnsi="Arial Narrow" w:cs="Arial Narrow"/>
                <w:sz w:val="24"/>
                <w:szCs w:val="24"/>
              </w:rPr>
              <w:t>) y Un Solo Bienestar (</w:t>
            </w:r>
            <w:proofErr w:type="spellStart"/>
            <w:r>
              <w:rPr>
                <w:rFonts w:ascii="Arial Narrow" w:eastAsia="Arial Narrow" w:hAnsi="Arial Narrow" w:cs="Arial Narrow"/>
                <w:sz w:val="24"/>
                <w:szCs w:val="24"/>
              </w:rPr>
              <w:t>One</w:t>
            </w:r>
            <w:proofErr w:type="spellEnd"/>
            <w:r>
              <w:rPr>
                <w:rFonts w:ascii="Arial Narrow" w:eastAsia="Arial Narrow" w:hAnsi="Arial Narrow" w:cs="Arial Narrow"/>
                <w:sz w:val="24"/>
                <w:szCs w:val="24"/>
              </w:rPr>
              <w:t xml:space="preserve"> </w:t>
            </w:r>
            <w:proofErr w:type="spellStart"/>
            <w:r>
              <w:rPr>
                <w:rFonts w:ascii="Arial Narrow" w:eastAsia="Arial Narrow" w:hAnsi="Arial Narrow" w:cs="Arial Narrow"/>
                <w:sz w:val="24"/>
                <w:szCs w:val="24"/>
              </w:rPr>
              <w:t>Welfare</w:t>
            </w:r>
            <w:proofErr w:type="spellEnd"/>
            <w:r>
              <w:rPr>
                <w:rFonts w:ascii="Arial Narrow" w:eastAsia="Arial Narrow" w:hAnsi="Arial Narrow" w:cs="Arial Narrow"/>
                <w:sz w:val="24"/>
                <w:szCs w:val="24"/>
              </w:rPr>
              <w:t>), en armonía con los objetivos de conservación de la biodiversidad y sostenibilidad ambiental.</w:t>
            </w:r>
          </w:p>
          <w:p w14:paraId="70C0A802" w14:textId="77777777" w:rsidR="00685978" w:rsidRDefault="00000000">
            <w:pPr>
              <w:jc w:val="both"/>
              <w:rPr>
                <w:rFonts w:ascii="Arial Narrow" w:eastAsia="Arial Narrow" w:hAnsi="Arial Narrow" w:cs="Arial Narrow"/>
                <w:sz w:val="24"/>
                <w:szCs w:val="24"/>
              </w:rPr>
            </w:pPr>
            <w:r>
              <w:rPr>
                <w:rFonts w:ascii="Arial Narrow" w:eastAsia="Arial Narrow" w:hAnsi="Arial Narrow" w:cs="Arial Narrow"/>
                <w:sz w:val="24"/>
                <w:szCs w:val="24"/>
              </w:rPr>
              <w:t>No obstante, los impactos positivos de la ley estarán condicionados a la correcta implementación de las medidas pedagógicas, a la capacidad operativa de las autoridades para prevenir, atender y sancionar el maltrato animal, y al cumplimiento estricto de los protocolos de manejo sanitario, transporte, inspección y atención de animales en situaciones de riesgo. La sostenibilidad ambiental de los resultados dependerá de la adopción de buenas prácticas por parte de entidades públicas y privadas, del manejo adecuado de residuos asociados a procedimientos médico-veterinarios y del uso racional de insumos y recursos en los procesos de atención animal.</w:t>
            </w:r>
          </w:p>
          <w:p w14:paraId="29FA445F" w14:textId="77777777" w:rsidR="00685978" w:rsidRDefault="00685978">
            <w:pPr>
              <w:jc w:val="both"/>
              <w:rPr>
                <w:rFonts w:ascii="Arial Narrow" w:eastAsia="Arial Narrow" w:hAnsi="Arial Narrow" w:cs="Arial Narrow"/>
                <w:sz w:val="24"/>
                <w:szCs w:val="24"/>
              </w:rPr>
            </w:pPr>
          </w:p>
        </w:tc>
      </w:tr>
      <w:tr w:rsidR="00685978" w:rsidRPr="00B160CD" w14:paraId="03362C62" w14:textId="77777777">
        <w:trPr>
          <w:trHeight w:val="317"/>
        </w:trPr>
        <w:tc>
          <w:tcPr>
            <w:tcW w:w="10785" w:type="dxa"/>
            <w:gridSpan w:val="3"/>
            <w:tcBorders>
              <w:top w:val="single" w:sz="4" w:space="0" w:color="000000"/>
              <w:bottom w:val="single" w:sz="4" w:space="0" w:color="000000"/>
            </w:tcBorders>
            <w:shd w:val="clear" w:color="auto" w:fill="FFFFFF"/>
            <w:vAlign w:val="center"/>
          </w:tcPr>
          <w:p w14:paraId="6CE347A5" w14:textId="77777777" w:rsidR="00685978" w:rsidRDefault="00000000">
            <w:pPr>
              <w:numPr>
                <w:ilvl w:val="0"/>
                <w:numId w:val="1"/>
              </w:numPr>
              <w:pBdr>
                <w:top w:val="nil"/>
                <w:left w:val="nil"/>
                <w:bottom w:val="nil"/>
                <w:right w:val="nil"/>
                <w:between w:val="nil"/>
              </w:pBdr>
              <w:jc w:val="both"/>
              <w:rPr>
                <w:b/>
                <w:bCs/>
              </w:rPr>
            </w:pPr>
            <w:r>
              <w:rPr>
                <w:rFonts w:ascii="Arial Narrow" w:eastAsia="Arial Narrow" w:hAnsi="Arial Narrow" w:cs="Arial Narrow"/>
                <w:b/>
                <w:bCs/>
                <w:sz w:val="22"/>
                <w:szCs w:val="22"/>
              </w:rPr>
              <w:t xml:space="preserve">ESTUDIOS TÉCNICOS QUE SUSTENTEN EL PROYECTO NORMATIVO </w:t>
            </w:r>
          </w:p>
          <w:p w14:paraId="66406B38" w14:textId="77777777" w:rsidR="00685978" w:rsidRDefault="00000000">
            <w:pPr>
              <w:spacing w:before="280" w:after="280"/>
              <w:jc w:val="both"/>
              <w:rPr>
                <w:rFonts w:ascii="Arial Narrow" w:eastAsia="Arial Narrow" w:hAnsi="Arial Narrow" w:cs="Arial Narrow"/>
                <w:sz w:val="24"/>
                <w:szCs w:val="24"/>
              </w:rPr>
            </w:pPr>
            <w:r>
              <w:rPr>
                <w:rFonts w:ascii="Arial Narrow" w:eastAsia="Arial Narrow" w:hAnsi="Arial Narrow" w:cs="Arial Narrow"/>
                <w:sz w:val="24"/>
                <w:szCs w:val="24"/>
              </w:rPr>
              <w:t>La estructuración técnica del presente proyecto normativo se sustentó en revisión normativa, análisis jurídico comparado, evidencia científica y procesos de construcción interinstitucional orientados a fortalecer la prevención, atención y articulación institucional frente a los casos de presunto maltrato animal.</w:t>
            </w:r>
          </w:p>
          <w:p w14:paraId="505E2679" w14:textId="77777777" w:rsidR="00685978" w:rsidRDefault="00000000">
            <w:pPr>
              <w:spacing w:before="280" w:after="280"/>
              <w:jc w:val="both"/>
              <w:rPr>
                <w:rFonts w:ascii="Arial Narrow" w:eastAsia="Arial Narrow" w:hAnsi="Arial Narrow" w:cs="Arial Narrow"/>
                <w:sz w:val="24"/>
                <w:szCs w:val="24"/>
              </w:rPr>
            </w:pPr>
            <w:r>
              <w:rPr>
                <w:rFonts w:ascii="Arial Narrow" w:eastAsia="Arial Narrow" w:hAnsi="Arial Narrow" w:cs="Arial Narrow"/>
                <w:sz w:val="24"/>
                <w:szCs w:val="24"/>
              </w:rPr>
              <w:lastRenderedPageBreak/>
              <w:t xml:space="preserve">Como soporte técnico del proyecto se incorporaron referentes científicos y metodológicos relacionados con sintiencia animal, bienestar animal, medicina veterinaria, etología clínica, salud pública, bioseguridad, gestión del riesgo sanitario, violencias interrelacionadas, acumulación de animales y modelos de articulación institucional para la protección animal. </w:t>
            </w:r>
          </w:p>
          <w:p w14:paraId="46F6D5B6" w14:textId="77777777" w:rsidR="00685978" w:rsidRDefault="00000000">
            <w:pPr>
              <w:spacing w:before="280" w:after="280"/>
              <w:jc w:val="both"/>
              <w:rPr>
                <w:rFonts w:ascii="Arial Narrow" w:eastAsia="Arial Narrow" w:hAnsi="Arial Narrow" w:cs="Arial Narrow"/>
                <w:sz w:val="24"/>
                <w:szCs w:val="24"/>
              </w:rPr>
            </w:pPr>
            <w:r>
              <w:rPr>
                <w:rFonts w:ascii="Arial Narrow" w:eastAsia="Arial Narrow" w:hAnsi="Arial Narrow" w:cs="Arial Narrow"/>
                <w:sz w:val="24"/>
                <w:szCs w:val="24"/>
              </w:rPr>
              <w:t>La sintiencia animal corresponde a la capacidad de un ser vivo de tener experiencias subjetivas o conscientes con valencia afectiva, incluyendo la capacidad de percibir y experimentar estados positivos y negativos tales como dolor, sufrimiento, miedo, angustia, estrés, placer, confort o bienestar. Desde la ciencia contemporánea, la sintiencia no se limita a la percepción nociceptiva de estímulos, sino que implica la existencia de experiencias conscientes derivadas del procesamiento integrado de información sensorial, emocional y cognitiva, capaces de generar respuestas conductuales, fisiológicas y adaptativas (</w:t>
            </w:r>
            <w:proofErr w:type="spellStart"/>
            <w:r>
              <w:rPr>
                <w:rFonts w:ascii="Arial Narrow" w:eastAsia="Arial Narrow" w:hAnsi="Arial Narrow" w:cs="Arial Narrow"/>
                <w:sz w:val="24"/>
                <w:szCs w:val="24"/>
              </w:rPr>
              <w:t>Broom</w:t>
            </w:r>
            <w:proofErr w:type="spellEnd"/>
            <w:r>
              <w:rPr>
                <w:rFonts w:ascii="Arial Narrow" w:eastAsia="Arial Narrow" w:hAnsi="Arial Narrow" w:cs="Arial Narrow"/>
                <w:sz w:val="24"/>
                <w:szCs w:val="24"/>
              </w:rPr>
              <w:t>, 2014; Duncan, 2006).</w:t>
            </w:r>
          </w:p>
          <w:p w14:paraId="06717439" w14:textId="77777777" w:rsidR="00685978" w:rsidRDefault="00000000">
            <w:pPr>
              <w:spacing w:before="280" w:after="280"/>
              <w:jc w:val="both"/>
              <w:rPr>
                <w:rFonts w:ascii="Arial Narrow" w:eastAsia="Arial Narrow" w:hAnsi="Arial Narrow" w:cs="Arial Narrow"/>
                <w:sz w:val="24"/>
                <w:szCs w:val="24"/>
              </w:rPr>
            </w:pPr>
            <w:r>
              <w:rPr>
                <w:rFonts w:ascii="Arial Narrow" w:eastAsia="Arial Narrow" w:hAnsi="Arial Narrow" w:cs="Arial Narrow"/>
                <w:sz w:val="24"/>
                <w:szCs w:val="24"/>
              </w:rPr>
              <w:t>En términos neurobiológicos y etológicos, la sintiencia se relaciona con la presencia de estructuras y procesos funcionales que permiten la integración de estímulos internos y externos, la generación de estados afectivos y la manifestación de respuestas orientadas a evitar experiencias aversivas o procurar experiencias positivas. La evidencia científica acumulada ha demostrado que múltiples especies animales poseen sustratos neuroanatómicos, neuroquímicos, neurofisiológicos y comportamentales compatibles con la existencia de experiencias conscientes y estados afectivos complejos (</w:t>
            </w:r>
            <w:proofErr w:type="spellStart"/>
            <w:r>
              <w:rPr>
                <w:rFonts w:ascii="Arial Narrow" w:eastAsia="Arial Narrow" w:hAnsi="Arial Narrow" w:cs="Arial Narrow"/>
                <w:sz w:val="24"/>
                <w:szCs w:val="24"/>
              </w:rPr>
              <w:t>Panksepp</w:t>
            </w:r>
            <w:proofErr w:type="spellEnd"/>
            <w:r>
              <w:rPr>
                <w:rFonts w:ascii="Arial Narrow" w:eastAsia="Arial Narrow" w:hAnsi="Arial Narrow" w:cs="Arial Narrow"/>
                <w:sz w:val="24"/>
                <w:szCs w:val="24"/>
              </w:rPr>
              <w:t xml:space="preserve">, 2011; </w:t>
            </w:r>
            <w:proofErr w:type="spellStart"/>
            <w:r>
              <w:rPr>
                <w:rFonts w:ascii="Arial Narrow" w:eastAsia="Arial Narrow" w:hAnsi="Arial Narrow" w:cs="Arial Narrow"/>
                <w:sz w:val="24"/>
                <w:szCs w:val="24"/>
              </w:rPr>
              <w:t>Safina</w:t>
            </w:r>
            <w:proofErr w:type="spellEnd"/>
            <w:r>
              <w:rPr>
                <w:rFonts w:ascii="Arial Narrow" w:eastAsia="Arial Narrow" w:hAnsi="Arial Narrow" w:cs="Arial Narrow"/>
                <w:sz w:val="24"/>
                <w:szCs w:val="24"/>
              </w:rPr>
              <w:t>, 2015).</w:t>
            </w:r>
          </w:p>
          <w:p w14:paraId="49845EA9" w14:textId="77777777" w:rsidR="00685978" w:rsidRDefault="00000000">
            <w:pPr>
              <w:spacing w:before="280" w:after="280"/>
              <w:jc w:val="both"/>
              <w:rPr>
                <w:rFonts w:ascii="Arial Narrow" w:eastAsia="Arial Narrow" w:hAnsi="Arial Narrow" w:cs="Arial Narrow"/>
                <w:sz w:val="24"/>
                <w:szCs w:val="24"/>
              </w:rPr>
            </w:pPr>
            <w:r>
              <w:rPr>
                <w:rFonts w:ascii="Arial Narrow" w:eastAsia="Arial Narrow" w:hAnsi="Arial Narrow" w:cs="Arial Narrow"/>
                <w:sz w:val="24"/>
                <w:szCs w:val="24"/>
              </w:rPr>
              <w:t>La comprensión científica de la sintiencia ha evolucionado desde modelos restrictivos centrados en mamíferos superiores hacia enfoques más amplios basados en evidencia funcional y comparada. La Declaración de Cambridge sobre la Conciencia de 2012 (</w:t>
            </w:r>
            <w:r>
              <w:rPr>
                <w:rFonts w:ascii="Arial Narrow" w:eastAsia="Arial Narrow" w:hAnsi="Arial Narrow" w:cs="Arial Narrow"/>
                <w:i/>
                <w:iCs/>
                <w:sz w:val="24"/>
                <w:szCs w:val="24"/>
              </w:rPr>
              <w:t xml:space="preserve">Cambridge </w:t>
            </w:r>
            <w:proofErr w:type="spellStart"/>
            <w:r>
              <w:rPr>
                <w:rFonts w:ascii="Arial Narrow" w:eastAsia="Arial Narrow" w:hAnsi="Arial Narrow" w:cs="Arial Narrow"/>
                <w:i/>
                <w:iCs/>
                <w:sz w:val="24"/>
                <w:szCs w:val="24"/>
              </w:rPr>
              <w:t>Declaration</w:t>
            </w:r>
            <w:proofErr w:type="spellEnd"/>
            <w:r>
              <w:rPr>
                <w:rFonts w:ascii="Arial Narrow" w:eastAsia="Arial Narrow" w:hAnsi="Arial Narrow" w:cs="Arial Narrow"/>
                <w:i/>
                <w:iCs/>
                <w:sz w:val="24"/>
                <w:szCs w:val="24"/>
              </w:rPr>
              <w:t xml:space="preserve"> </w:t>
            </w:r>
            <w:proofErr w:type="spellStart"/>
            <w:r>
              <w:rPr>
                <w:rFonts w:ascii="Arial Narrow" w:eastAsia="Arial Narrow" w:hAnsi="Arial Narrow" w:cs="Arial Narrow"/>
                <w:i/>
                <w:iCs/>
                <w:sz w:val="24"/>
                <w:szCs w:val="24"/>
              </w:rPr>
              <w:t>on</w:t>
            </w:r>
            <w:proofErr w:type="spellEnd"/>
            <w:r>
              <w:rPr>
                <w:rFonts w:ascii="Arial Narrow" w:eastAsia="Arial Narrow" w:hAnsi="Arial Narrow" w:cs="Arial Narrow"/>
                <w:i/>
                <w:iCs/>
                <w:sz w:val="24"/>
                <w:szCs w:val="24"/>
              </w:rPr>
              <w:t xml:space="preserve"> </w:t>
            </w:r>
            <w:proofErr w:type="spellStart"/>
            <w:r>
              <w:rPr>
                <w:rFonts w:ascii="Arial Narrow" w:eastAsia="Arial Narrow" w:hAnsi="Arial Narrow" w:cs="Arial Narrow"/>
                <w:i/>
                <w:iCs/>
                <w:sz w:val="24"/>
                <w:szCs w:val="24"/>
              </w:rPr>
              <w:t>Consciousness</w:t>
            </w:r>
            <w:proofErr w:type="spellEnd"/>
            <w:r>
              <w:rPr>
                <w:rFonts w:ascii="Arial Narrow" w:eastAsia="Arial Narrow" w:hAnsi="Arial Narrow" w:cs="Arial Narrow"/>
                <w:sz w:val="24"/>
                <w:szCs w:val="24"/>
              </w:rPr>
              <w:t xml:space="preserve">), suscrita por un grupo prominente de neurocientíficos durante la Conferencia Francis Crick Memorial </w:t>
            </w:r>
            <w:proofErr w:type="spellStart"/>
            <w:r>
              <w:rPr>
                <w:rFonts w:ascii="Arial Narrow" w:eastAsia="Arial Narrow" w:hAnsi="Arial Narrow" w:cs="Arial Narrow"/>
                <w:sz w:val="24"/>
                <w:szCs w:val="24"/>
              </w:rPr>
              <w:t>Conference</w:t>
            </w:r>
            <w:proofErr w:type="spellEnd"/>
            <w:r>
              <w:rPr>
                <w:rFonts w:ascii="Arial Narrow" w:eastAsia="Arial Narrow" w:hAnsi="Arial Narrow" w:cs="Arial Narrow"/>
                <w:sz w:val="24"/>
                <w:szCs w:val="24"/>
              </w:rPr>
              <w:t>, concluyó que los animales no humanos poseen los sustratos neurológicos necesarios para generar estados conscientes, reconociendo evidencia suficiente en mamíferos, aves y otras especies (Low et al., 2012). Posteriormente, la Declaración de Nueva York sobre la Conciencia Animal de 2024 (</w:t>
            </w:r>
            <w:r>
              <w:rPr>
                <w:rFonts w:ascii="Arial Narrow" w:eastAsia="Arial Narrow" w:hAnsi="Arial Narrow" w:cs="Arial Narrow"/>
                <w:i/>
                <w:iCs/>
                <w:sz w:val="24"/>
                <w:szCs w:val="24"/>
              </w:rPr>
              <w:t xml:space="preserve">New York </w:t>
            </w:r>
            <w:proofErr w:type="spellStart"/>
            <w:r>
              <w:rPr>
                <w:rFonts w:ascii="Arial Narrow" w:eastAsia="Arial Narrow" w:hAnsi="Arial Narrow" w:cs="Arial Narrow"/>
                <w:i/>
                <w:iCs/>
                <w:sz w:val="24"/>
                <w:szCs w:val="24"/>
              </w:rPr>
              <w:t>Declaration</w:t>
            </w:r>
            <w:proofErr w:type="spellEnd"/>
            <w:r>
              <w:rPr>
                <w:rFonts w:ascii="Arial Narrow" w:eastAsia="Arial Narrow" w:hAnsi="Arial Narrow" w:cs="Arial Narrow"/>
                <w:i/>
                <w:iCs/>
                <w:sz w:val="24"/>
                <w:szCs w:val="24"/>
              </w:rPr>
              <w:t xml:space="preserve"> </w:t>
            </w:r>
            <w:proofErr w:type="spellStart"/>
            <w:r>
              <w:rPr>
                <w:rFonts w:ascii="Arial Narrow" w:eastAsia="Arial Narrow" w:hAnsi="Arial Narrow" w:cs="Arial Narrow"/>
                <w:i/>
                <w:iCs/>
                <w:sz w:val="24"/>
                <w:szCs w:val="24"/>
              </w:rPr>
              <w:t>on</w:t>
            </w:r>
            <w:proofErr w:type="spellEnd"/>
            <w:r>
              <w:rPr>
                <w:rFonts w:ascii="Arial Narrow" w:eastAsia="Arial Narrow" w:hAnsi="Arial Narrow" w:cs="Arial Narrow"/>
                <w:i/>
                <w:iCs/>
                <w:sz w:val="24"/>
                <w:szCs w:val="24"/>
              </w:rPr>
              <w:t xml:space="preserve"> Animal </w:t>
            </w:r>
            <w:proofErr w:type="spellStart"/>
            <w:r>
              <w:rPr>
                <w:rFonts w:ascii="Arial Narrow" w:eastAsia="Arial Narrow" w:hAnsi="Arial Narrow" w:cs="Arial Narrow"/>
                <w:i/>
                <w:iCs/>
                <w:sz w:val="24"/>
                <w:szCs w:val="24"/>
              </w:rPr>
              <w:t>Consciousness</w:t>
            </w:r>
            <w:proofErr w:type="spellEnd"/>
            <w:r>
              <w:rPr>
                <w:rFonts w:ascii="Arial Narrow" w:eastAsia="Arial Narrow" w:hAnsi="Arial Narrow" w:cs="Arial Narrow"/>
                <w:sz w:val="24"/>
                <w:szCs w:val="24"/>
              </w:rPr>
              <w:t>) amplió este consenso al señalar que existe respaldo científico sólido respecto de experiencias conscientes en mamíferos y aves, así como una posibilidad realista de conciencia en todos los vertebrados y en múltiples grupos de invertebrados (Andrews et al., 2024).</w:t>
            </w:r>
          </w:p>
          <w:p w14:paraId="76305CD2" w14:textId="77777777" w:rsidR="00685978" w:rsidRDefault="00000000">
            <w:pPr>
              <w:spacing w:before="280" w:after="280"/>
              <w:jc w:val="both"/>
              <w:rPr>
                <w:rFonts w:ascii="Arial Narrow" w:eastAsia="Arial Narrow" w:hAnsi="Arial Narrow" w:cs="Arial Narrow"/>
                <w:sz w:val="24"/>
                <w:szCs w:val="24"/>
              </w:rPr>
            </w:pPr>
            <w:r>
              <w:rPr>
                <w:rFonts w:ascii="Arial Narrow" w:eastAsia="Arial Narrow" w:hAnsi="Arial Narrow" w:cs="Arial Narrow"/>
                <w:sz w:val="24"/>
                <w:szCs w:val="24"/>
              </w:rPr>
              <w:t xml:space="preserve">Bajo esta perspectiva, la sintiencia constituye el principal fundamento científico y ético para el reconocimiento de los animales como sujetos de especial protección jurídica, dado que la capacidad de sufrir o experimentar bienestar convierte sus intereses en moral y jurídicamente relevantes (Singer, 1975; </w:t>
            </w:r>
            <w:proofErr w:type="spellStart"/>
            <w:r>
              <w:rPr>
                <w:rFonts w:ascii="Arial Narrow" w:eastAsia="Arial Narrow" w:hAnsi="Arial Narrow" w:cs="Arial Narrow"/>
                <w:sz w:val="24"/>
                <w:szCs w:val="24"/>
              </w:rPr>
              <w:t>Francione</w:t>
            </w:r>
            <w:proofErr w:type="spellEnd"/>
            <w:r>
              <w:rPr>
                <w:rFonts w:ascii="Arial Narrow" w:eastAsia="Arial Narrow" w:hAnsi="Arial Narrow" w:cs="Arial Narrow"/>
                <w:sz w:val="24"/>
                <w:szCs w:val="24"/>
              </w:rPr>
              <w:t>, 2008). En consecuencia, la valoración institucional del bienestar animal no puede limitarse a la ausencia de lesiones físicas evidentes, sino que debe comprender integralmente dimensiones físicas, emocionales, conductuales y funcionales.</w:t>
            </w:r>
          </w:p>
          <w:p w14:paraId="3865E5EA" w14:textId="77777777" w:rsidR="00685978" w:rsidRDefault="00000000">
            <w:pPr>
              <w:spacing w:before="280" w:after="280"/>
              <w:jc w:val="both"/>
              <w:rPr>
                <w:rFonts w:ascii="Arial Narrow" w:eastAsia="Arial Narrow" w:hAnsi="Arial Narrow" w:cs="Arial Narrow"/>
                <w:sz w:val="24"/>
                <w:szCs w:val="24"/>
              </w:rPr>
            </w:pPr>
            <w:r>
              <w:rPr>
                <w:rFonts w:ascii="Arial Narrow" w:eastAsia="Arial Narrow" w:hAnsi="Arial Narrow" w:cs="Arial Narrow"/>
                <w:sz w:val="24"/>
                <w:szCs w:val="24"/>
              </w:rPr>
              <w:t>En el ordenamiento jurídico colombiano, este reconocimiento fue incorporado expresamente mediante la Ley 1774 de 2016, la cual reconoció a los animales como "seres sintientes" y prohibió la causación injustificada de dolor, sufrimiento o muerte. Este avance normativo ha sido desarrollado progresivamente por la jurisprudencia constitucional, que ha señalado que la protección animal deriva no solo de consideraciones ambientales, sino del deber constitucional de evitar tratos crueles e incompatibles con la dignidad de los seres sintientes (Corte Constitucional, Sentencia C-041 de 2017).</w:t>
            </w:r>
          </w:p>
          <w:p w14:paraId="38322524" w14:textId="77777777" w:rsidR="00685978" w:rsidRDefault="00000000">
            <w:pPr>
              <w:spacing w:before="280" w:after="280"/>
              <w:jc w:val="both"/>
              <w:rPr>
                <w:rFonts w:ascii="Arial Narrow" w:eastAsia="Arial Narrow" w:hAnsi="Arial Narrow" w:cs="Arial Narrow"/>
                <w:sz w:val="24"/>
                <w:szCs w:val="24"/>
              </w:rPr>
            </w:pPr>
            <w:r>
              <w:rPr>
                <w:rFonts w:ascii="Arial Narrow" w:eastAsia="Arial Narrow" w:hAnsi="Arial Narrow" w:cs="Arial Narrow"/>
                <w:sz w:val="24"/>
                <w:szCs w:val="24"/>
              </w:rPr>
              <w:t xml:space="preserve">La valoración del bienestar animal en el marco de la Ruta integra de manera complementaria y concurrente el enfoque de las Cinco Libertades del Bienestar Animal y el modelo de los Cinco Dominios del Bienestar Animal, reconocidos </w:t>
            </w:r>
            <w:r>
              <w:rPr>
                <w:rFonts w:ascii="Arial Narrow" w:eastAsia="Arial Narrow" w:hAnsi="Arial Narrow" w:cs="Arial Narrow"/>
                <w:sz w:val="24"/>
                <w:szCs w:val="24"/>
              </w:rPr>
              <w:lastRenderedPageBreak/>
              <w:t>internacionalmente como referentes técnicos para la evaluación integral de las condiciones físicas, fisiológicas, comportamentales y emocionales de los animales.</w:t>
            </w:r>
          </w:p>
          <w:p w14:paraId="76C79577" w14:textId="77777777" w:rsidR="00685978" w:rsidRDefault="00000000">
            <w:pPr>
              <w:spacing w:before="280" w:after="280"/>
              <w:jc w:val="both"/>
              <w:rPr>
                <w:rFonts w:ascii="Arial Narrow" w:eastAsia="Arial Narrow" w:hAnsi="Arial Narrow" w:cs="Arial Narrow"/>
                <w:sz w:val="24"/>
                <w:szCs w:val="24"/>
              </w:rPr>
            </w:pPr>
            <w:r>
              <w:rPr>
                <w:rFonts w:ascii="Arial Narrow" w:eastAsia="Arial Narrow" w:hAnsi="Arial Narrow" w:cs="Arial Narrow"/>
                <w:sz w:val="24"/>
                <w:szCs w:val="24"/>
              </w:rPr>
              <w:t xml:space="preserve">El enfoque de las Cinco Libertades, desarrollado por el </w:t>
            </w:r>
            <w:proofErr w:type="spellStart"/>
            <w:r>
              <w:rPr>
                <w:rFonts w:ascii="Arial Narrow" w:eastAsia="Arial Narrow" w:hAnsi="Arial Narrow" w:cs="Arial Narrow"/>
                <w:i/>
                <w:iCs/>
                <w:sz w:val="24"/>
                <w:szCs w:val="24"/>
              </w:rPr>
              <w:t>Farm</w:t>
            </w:r>
            <w:proofErr w:type="spellEnd"/>
            <w:r>
              <w:rPr>
                <w:rFonts w:ascii="Arial Narrow" w:eastAsia="Arial Narrow" w:hAnsi="Arial Narrow" w:cs="Arial Narrow"/>
                <w:i/>
                <w:iCs/>
                <w:sz w:val="24"/>
                <w:szCs w:val="24"/>
              </w:rPr>
              <w:t xml:space="preserve"> Animal </w:t>
            </w:r>
            <w:proofErr w:type="spellStart"/>
            <w:r>
              <w:rPr>
                <w:rFonts w:ascii="Arial Narrow" w:eastAsia="Arial Narrow" w:hAnsi="Arial Narrow" w:cs="Arial Narrow"/>
                <w:i/>
                <w:iCs/>
                <w:sz w:val="24"/>
                <w:szCs w:val="24"/>
              </w:rPr>
              <w:t>Welfare</w:t>
            </w:r>
            <w:proofErr w:type="spellEnd"/>
            <w:r>
              <w:rPr>
                <w:rFonts w:ascii="Arial Narrow" w:eastAsia="Arial Narrow" w:hAnsi="Arial Narrow" w:cs="Arial Narrow"/>
                <w:i/>
                <w:iCs/>
                <w:sz w:val="24"/>
                <w:szCs w:val="24"/>
              </w:rPr>
              <w:t xml:space="preserve"> Council</w:t>
            </w:r>
            <w:r>
              <w:rPr>
                <w:rFonts w:ascii="Arial Narrow" w:eastAsia="Arial Narrow" w:hAnsi="Arial Narrow" w:cs="Arial Narrow"/>
                <w:sz w:val="24"/>
                <w:szCs w:val="24"/>
              </w:rPr>
              <w:t xml:space="preserve"> (FAWC, 1979) y consolidado posteriormente como estándar internacional, establece que los animales deben encontrarse libres de hambre y sed, de incomodidad física, de dolor, lesiones o enfermedad, de miedo y angustia, y con posibilidad de expresar comportamientos naturales propios de su especie. Este modelo constituyó un avance fundamental en la consolidación de estándares mínimos de protección animal (Webster, 2001).</w:t>
            </w:r>
          </w:p>
          <w:p w14:paraId="61BDE9B1" w14:textId="77777777" w:rsidR="00685978" w:rsidRDefault="00000000">
            <w:pPr>
              <w:spacing w:before="280" w:after="280"/>
              <w:jc w:val="both"/>
              <w:rPr>
                <w:rFonts w:ascii="Arial Narrow" w:eastAsia="Arial Narrow" w:hAnsi="Arial Narrow" w:cs="Arial Narrow"/>
                <w:sz w:val="24"/>
                <w:szCs w:val="24"/>
              </w:rPr>
            </w:pPr>
            <w:r>
              <w:rPr>
                <w:rFonts w:ascii="Arial Narrow" w:eastAsia="Arial Narrow" w:hAnsi="Arial Narrow" w:cs="Arial Narrow"/>
                <w:sz w:val="24"/>
                <w:szCs w:val="24"/>
              </w:rPr>
              <w:t xml:space="preserve">Complementariamente, el modelo de los Cinco Dominios, desarrollado por </w:t>
            </w:r>
            <w:proofErr w:type="spellStart"/>
            <w:r>
              <w:rPr>
                <w:rFonts w:ascii="Arial Narrow" w:eastAsia="Arial Narrow" w:hAnsi="Arial Narrow" w:cs="Arial Narrow"/>
                <w:sz w:val="24"/>
                <w:szCs w:val="24"/>
              </w:rPr>
              <w:t>Mellor</w:t>
            </w:r>
            <w:proofErr w:type="spellEnd"/>
            <w:r>
              <w:rPr>
                <w:rFonts w:ascii="Arial Narrow" w:eastAsia="Arial Narrow" w:hAnsi="Arial Narrow" w:cs="Arial Narrow"/>
                <w:sz w:val="24"/>
                <w:szCs w:val="24"/>
              </w:rPr>
              <w:t xml:space="preserve"> y Reid (1994) y actualizado por </w:t>
            </w:r>
            <w:proofErr w:type="spellStart"/>
            <w:r>
              <w:rPr>
                <w:rFonts w:ascii="Arial Narrow" w:eastAsia="Arial Narrow" w:hAnsi="Arial Narrow" w:cs="Arial Narrow"/>
                <w:sz w:val="24"/>
                <w:szCs w:val="24"/>
              </w:rPr>
              <w:t>Mellor</w:t>
            </w:r>
            <w:proofErr w:type="spellEnd"/>
            <w:r>
              <w:rPr>
                <w:rFonts w:ascii="Arial Narrow" w:eastAsia="Arial Narrow" w:hAnsi="Arial Narrow" w:cs="Arial Narrow"/>
                <w:sz w:val="24"/>
                <w:szCs w:val="24"/>
              </w:rPr>
              <w:t xml:space="preserve"> et al. (2020), permite una valoración más integral y científicamente actualizada del bienestar animal. Analiza de manera interrelacionada las dimensiones de nutrición, ambiente, salud, comportamiento y estado mental, reconociendo que las condiciones físicas y funcionales del animal influyen directamente en sus experiencias afectivas y emocionales. Este modelo resulta especialmente relevante para evaluar situaciones de negligencia, confinamiento prolongado, privación conductual, acumulación de animales o cualquier otra condición capaz de afectar negativamente el estado físico o mental del animal, incluso en ausencia de daño anatómico visible.</w:t>
            </w:r>
          </w:p>
          <w:p w14:paraId="4DBB280E" w14:textId="77777777" w:rsidR="00685978" w:rsidRDefault="00000000">
            <w:pPr>
              <w:spacing w:before="280" w:after="280"/>
              <w:jc w:val="both"/>
              <w:rPr>
                <w:rFonts w:ascii="Arial Narrow" w:eastAsia="Arial Narrow" w:hAnsi="Arial Narrow" w:cs="Arial Narrow"/>
                <w:sz w:val="24"/>
                <w:szCs w:val="24"/>
              </w:rPr>
            </w:pPr>
            <w:r>
              <w:rPr>
                <w:rFonts w:ascii="Arial Narrow" w:eastAsia="Arial Narrow" w:hAnsi="Arial Narrow" w:cs="Arial Narrow"/>
                <w:sz w:val="24"/>
                <w:szCs w:val="24"/>
              </w:rPr>
              <w:t xml:space="preserve">La incorporación simultánea de ambos marcos responde a la recomendación técnica de la </w:t>
            </w:r>
            <w:proofErr w:type="spellStart"/>
            <w:r>
              <w:rPr>
                <w:rFonts w:ascii="Arial Narrow" w:eastAsia="Arial Narrow" w:hAnsi="Arial Narrow" w:cs="Arial Narrow"/>
                <w:i/>
                <w:iCs/>
                <w:sz w:val="24"/>
                <w:szCs w:val="24"/>
              </w:rPr>
              <w:t>World</w:t>
            </w:r>
            <w:proofErr w:type="spellEnd"/>
            <w:r>
              <w:rPr>
                <w:rFonts w:ascii="Arial Narrow" w:eastAsia="Arial Narrow" w:hAnsi="Arial Narrow" w:cs="Arial Narrow"/>
                <w:i/>
                <w:iCs/>
                <w:sz w:val="24"/>
                <w:szCs w:val="24"/>
              </w:rPr>
              <w:t xml:space="preserve"> </w:t>
            </w:r>
            <w:proofErr w:type="spellStart"/>
            <w:r>
              <w:rPr>
                <w:rFonts w:ascii="Arial Narrow" w:eastAsia="Arial Narrow" w:hAnsi="Arial Narrow" w:cs="Arial Narrow"/>
                <w:i/>
                <w:iCs/>
                <w:sz w:val="24"/>
                <w:szCs w:val="24"/>
              </w:rPr>
              <w:t>Organisation</w:t>
            </w:r>
            <w:proofErr w:type="spellEnd"/>
            <w:r>
              <w:rPr>
                <w:rFonts w:ascii="Arial Narrow" w:eastAsia="Arial Narrow" w:hAnsi="Arial Narrow" w:cs="Arial Narrow"/>
                <w:i/>
                <w:iCs/>
                <w:sz w:val="24"/>
                <w:szCs w:val="24"/>
              </w:rPr>
              <w:t xml:space="preserve"> </w:t>
            </w:r>
            <w:proofErr w:type="spellStart"/>
            <w:r>
              <w:rPr>
                <w:rFonts w:ascii="Arial Narrow" w:eastAsia="Arial Narrow" w:hAnsi="Arial Narrow" w:cs="Arial Narrow"/>
                <w:i/>
                <w:iCs/>
                <w:sz w:val="24"/>
                <w:szCs w:val="24"/>
              </w:rPr>
              <w:t>for</w:t>
            </w:r>
            <w:proofErr w:type="spellEnd"/>
            <w:r>
              <w:rPr>
                <w:rFonts w:ascii="Arial Narrow" w:eastAsia="Arial Narrow" w:hAnsi="Arial Narrow" w:cs="Arial Narrow"/>
                <w:i/>
                <w:iCs/>
                <w:sz w:val="24"/>
                <w:szCs w:val="24"/>
              </w:rPr>
              <w:t xml:space="preserve"> Animal </w:t>
            </w:r>
            <w:proofErr w:type="spellStart"/>
            <w:r>
              <w:rPr>
                <w:rFonts w:ascii="Arial Narrow" w:eastAsia="Arial Narrow" w:hAnsi="Arial Narrow" w:cs="Arial Narrow"/>
                <w:i/>
                <w:iCs/>
                <w:sz w:val="24"/>
                <w:szCs w:val="24"/>
              </w:rPr>
              <w:t>Health</w:t>
            </w:r>
            <w:proofErr w:type="spellEnd"/>
            <w:r>
              <w:rPr>
                <w:rFonts w:ascii="Arial Narrow" w:eastAsia="Arial Narrow" w:hAnsi="Arial Narrow" w:cs="Arial Narrow"/>
                <w:sz w:val="24"/>
                <w:szCs w:val="24"/>
              </w:rPr>
              <w:t xml:space="preserve"> (WOAH, 2023), que promueve su uso complementario para garantizar evaluaciones comprehensivas, especialmente en contextos de intervención institucional ante casos de maltrato.</w:t>
            </w:r>
          </w:p>
          <w:p w14:paraId="1FFC8B7D" w14:textId="77777777" w:rsidR="00685978" w:rsidRDefault="00000000">
            <w:pPr>
              <w:spacing w:before="280" w:after="280"/>
              <w:jc w:val="both"/>
              <w:rPr>
                <w:rFonts w:ascii="Arial Narrow" w:eastAsia="Arial Narrow" w:hAnsi="Arial Narrow" w:cs="Arial Narrow"/>
                <w:sz w:val="24"/>
                <w:szCs w:val="24"/>
              </w:rPr>
            </w:pPr>
            <w:r>
              <w:rPr>
                <w:rFonts w:ascii="Arial Narrow" w:eastAsia="Arial Narrow" w:hAnsi="Arial Narrow" w:cs="Arial Narrow"/>
                <w:sz w:val="24"/>
                <w:szCs w:val="24"/>
              </w:rPr>
              <w:t>La Ruta adopta los enfoques de Una Salud (</w:t>
            </w:r>
            <w:proofErr w:type="spellStart"/>
            <w:r>
              <w:rPr>
                <w:rFonts w:ascii="Arial Narrow" w:eastAsia="Arial Narrow" w:hAnsi="Arial Narrow" w:cs="Arial Narrow"/>
                <w:i/>
                <w:iCs/>
                <w:sz w:val="24"/>
                <w:szCs w:val="24"/>
              </w:rPr>
              <w:t>One</w:t>
            </w:r>
            <w:proofErr w:type="spellEnd"/>
            <w:r>
              <w:rPr>
                <w:rFonts w:ascii="Arial Narrow" w:eastAsia="Arial Narrow" w:hAnsi="Arial Narrow" w:cs="Arial Narrow"/>
                <w:i/>
                <w:iCs/>
                <w:sz w:val="24"/>
                <w:szCs w:val="24"/>
              </w:rPr>
              <w:t xml:space="preserve"> </w:t>
            </w:r>
            <w:proofErr w:type="spellStart"/>
            <w:r>
              <w:rPr>
                <w:rFonts w:ascii="Arial Narrow" w:eastAsia="Arial Narrow" w:hAnsi="Arial Narrow" w:cs="Arial Narrow"/>
                <w:i/>
                <w:iCs/>
                <w:sz w:val="24"/>
                <w:szCs w:val="24"/>
              </w:rPr>
              <w:t>Health</w:t>
            </w:r>
            <w:proofErr w:type="spellEnd"/>
            <w:r>
              <w:rPr>
                <w:rFonts w:ascii="Arial Narrow" w:eastAsia="Arial Narrow" w:hAnsi="Arial Narrow" w:cs="Arial Narrow"/>
                <w:sz w:val="24"/>
                <w:szCs w:val="24"/>
              </w:rPr>
              <w:t>) y Un Bienestar (</w:t>
            </w:r>
            <w:proofErr w:type="spellStart"/>
            <w:r>
              <w:rPr>
                <w:rFonts w:ascii="Arial Narrow" w:eastAsia="Arial Narrow" w:hAnsi="Arial Narrow" w:cs="Arial Narrow"/>
                <w:i/>
                <w:iCs/>
                <w:sz w:val="24"/>
                <w:szCs w:val="24"/>
              </w:rPr>
              <w:t>One</w:t>
            </w:r>
            <w:proofErr w:type="spellEnd"/>
            <w:r>
              <w:rPr>
                <w:rFonts w:ascii="Arial Narrow" w:eastAsia="Arial Narrow" w:hAnsi="Arial Narrow" w:cs="Arial Narrow"/>
                <w:i/>
                <w:iCs/>
                <w:sz w:val="24"/>
                <w:szCs w:val="24"/>
              </w:rPr>
              <w:t xml:space="preserve"> </w:t>
            </w:r>
            <w:proofErr w:type="spellStart"/>
            <w:r>
              <w:rPr>
                <w:rFonts w:ascii="Arial Narrow" w:eastAsia="Arial Narrow" w:hAnsi="Arial Narrow" w:cs="Arial Narrow"/>
                <w:i/>
                <w:iCs/>
                <w:sz w:val="24"/>
                <w:szCs w:val="24"/>
              </w:rPr>
              <w:t>Welfare</w:t>
            </w:r>
            <w:proofErr w:type="spellEnd"/>
            <w:r>
              <w:rPr>
                <w:rFonts w:ascii="Arial Narrow" w:eastAsia="Arial Narrow" w:hAnsi="Arial Narrow" w:cs="Arial Narrow"/>
                <w:sz w:val="24"/>
                <w:szCs w:val="24"/>
              </w:rPr>
              <w:t>) como marcos técnicos y conceptuales orientadores para la comprensión integral del maltrato animal y para la estructuración de respuestas institucionales articuladas, preventivas y multidimensionales.</w:t>
            </w:r>
          </w:p>
          <w:p w14:paraId="367FEB30" w14:textId="77777777" w:rsidR="00685978" w:rsidRDefault="00000000">
            <w:pPr>
              <w:spacing w:before="280" w:after="280"/>
              <w:jc w:val="both"/>
              <w:rPr>
                <w:rFonts w:ascii="Arial Narrow" w:eastAsia="Arial Narrow" w:hAnsi="Arial Narrow" w:cs="Arial Narrow"/>
                <w:sz w:val="24"/>
                <w:szCs w:val="24"/>
              </w:rPr>
            </w:pPr>
            <w:r>
              <w:rPr>
                <w:rFonts w:ascii="Arial Narrow" w:eastAsia="Arial Narrow" w:hAnsi="Arial Narrow" w:cs="Arial Narrow"/>
                <w:sz w:val="24"/>
                <w:szCs w:val="24"/>
              </w:rPr>
              <w:t xml:space="preserve">El enfoque de Una Salud reconoce la interdependencia existente entre la salud humana, la salud animal y la salud de los ecosistemas, entendiendo que las alteraciones en cualquiera de estos componentes generan impactos sobre los demás (WHO, FAO, WOAH &amp; UNEP, 2022). Bajo esta perspectiva, el bienestar y la protección animal trascienden consideraciones éticas y adquieren relevancia como componentes estratégicos de salud pública, gestión del riesgo y sostenibilidad ambiental. Desde el punto de vista epidemiológico, las condiciones inadecuadas de bienestar animal, la negligencia extrema, la acumulación patológica, el tráfico ilegal de fauna y el hacinamiento pueden favorecer la presentación y transmisión de enfermedades zoonóticas, la proliferación de vectores y la contaminación ambiental (Jones et al., 2013; </w:t>
            </w:r>
            <w:proofErr w:type="spellStart"/>
            <w:r>
              <w:rPr>
                <w:rFonts w:ascii="Arial Narrow" w:eastAsia="Arial Narrow" w:hAnsi="Arial Narrow" w:cs="Arial Narrow"/>
                <w:sz w:val="24"/>
                <w:szCs w:val="24"/>
              </w:rPr>
              <w:t>Rüegg</w:t>
            </w:r>
            <w:proofErr w:type="spellEnd"/>
            <w:r>
              <w:rPr>
                <w:rFonts w:ascii="Arial Narrow" w:eastAsia="Arial Narrow" w:hAnsi="Arial Narrow" w:cs="Arial Narrow"/>
                <w:sz w:val="24"/>
                <w:szCs w:val="24"/>
              </w:rPr>
              <w:t xml:space="preserve"> et al., 2017). Este enfoque reconoce igualmente que los animales constituyen centinelas biológicos y sociales capaces de evidenciar condiciones de deterioro ambiental, violencia, vulnerabilidad social y fallas estructurales de cuidado.</w:t>
            </w:r>
          </w:p>
          <w:p w14:paraId="646E73CA" w14:textId="77777777" w:rsidR="00685978" w:rsidRDefault="00000000">
            <w:pPr>
              <w:spacing w:before="280" w:after="280"/>
              <w:jc w:val="both"/>
              <w:rPr>
                <w:rFonts w:ascii="Arial Narrow" w:eastAsia="Arial Narrow" w:hAnsi="Arial Narrow" w:cs="Arial Narrow"/>
                <w:sz w:val="24"/>
                <w:szCs w:val="24"/>
              </w:rPr>
            </w:pPr>
            <w:r>
              <w:rPr>
                <w:rFonts w:ascii="Arial Narrow" w:eastAsia="Arial Narrow" w:hAnsi="Arial Narrow" w:cs="Arial Narrow"/>
                <w:sz w:val="24"/>
                <w:szCs w:val="24"/>
              </w:rPr>
              <w:t>El enfoque de Un Bienestar (</w:t>
            </w:r>
            <w:proofErr w:type="spellStart"/>
            <w:r>
              <w:rPr>
                <w:rFonts w:ascii="Arial Narrow" w:eastAsia="Arial Narrow" w:hAnsi="Arial Narrow" w:cs="Arial Narrow"/>
                <w:i/>
                <w:iCs/>
                <w:sz w:val="24"/>
                <w:szCs w:val="24"/>
              </w:rPr>
              <w:t>One</w:t>
            </w:r>
            <w:proofErr w:type="spellEnd"/>
            <w:r>
              <w:rPr>
                <w:rFonts w:ascii="Arial Narrow" w:eastAsia="Arial Narrow" w:hAnsi="Arial Narrow" w:cs="Arial Narrow"/>
                <w:i/>
                <w:iCs/>
                <w:sz w:val="24"/>
                <w:szCs w:val="24"/>
              </w:rPr>
              <w:t xml:space="preserve"> </w:t>
            </w:r>
            <w:proofErr w:type="spellStart"/>
            <w:r>
              <w:rPr>
                <w:rFonts w:ascii="Arial Narrow" w:eastAsia="Arial Narrow" w:hAnsi="Arial Narrow" w:cs="Arial Narrow"/>
                <w:i/>
                <w:iCs/>
                <w:sz w:val="24"/>
                <w:szCs w:val="24"/>
              </w:rPr>
              <w:t>Welfare</w:t>
            </w:r>
            <w:proofErr w:type="spellEnd"/>
            <w:r>
              <w:rPr>
                <w:rFonts w:ascii="Arial Narrow" w:eastAsia="Arial Narrow" w:hAnsi="Arial Narrow" w:cs="Arial Narrow"/>
                <w:sz w:val="24"/>
                <w:szCs w:val="24"/>
              </w:rPr>
              <w:t>), promovido por Wilkins et al. (2017) y adoptado crecientemente por organismos multilaterales, amplía esta visión al reconocer las conexiones existentes entre el bienestar animal, el bienestar humano, la sostenibilidad ambiental y las dinámicas sociales, productivas y económicas. Este enfoque parte de la evidencia científica sobre las denominadas "violencias interrelacionadas" (</w:t>
            </w:r>
            <w:proofErr w:type="spellStart"/>
            <w:r>
              <w:rPr>
                <w:rFonts w:ascii="Arial Narrow" w:eastAsia="Arial Narrow" w:hAnsi="Arial Narrow" w:cs="Arial Narrow"/>
                <w:i/>
                <w:iCs/>
                <w:sz w:val="24"/>
                <w:szCs w:val="24"/>
              </w:rPr>
              <w:t>the</w:t>
            </w:r>
            <w:proofErr w:type="spellEnd"/>
            <w:r>
              <w:rPr>
                <w:rFonts w:ascii="Arial Narrow" w:eastAsia="Arial Narrow" w:hAnsi="Arial Narrow" w:cs="Arial Narrow"/>
                <w:i/>
                <w:iCs/>
                <w:sz w:val="24"/>
                <w:szCs w:val="24"/>
              </w:rPr>
              <w:t xml:space="preserve"> link</w:t>
            </w:r>
            <w:r>
              <w:rPr>
                <w:rFonts w:ascii="Arial Narrow" w:eastAsia="Arial Narrow" w:hAnsi="Arial Narrow" w:cs="Arial Narrow"/>
                <w:sz w:val="24"/>
                <w:szCs w:val="24"/>
              </w:rPr>
              <w:t>), según la cual las conductas de crueldad hacia los animales pueden coexistir o correlacionarse con otras formas de violencia interpersonal y comunitaria (</w:t>
            </w:r>
            <w:proofErr w:type="spellStart"/>
            <w:r>
              <w:rPr>
                <w:rFonts w:ascii="Arial Narrow" w:eastAsia="Arial Narrow" w:hAnsi="Arial Narrow" w:cs="Arial Narrow"/>
                <w:sz w:val="24"/>
                <w:szCs w:val="24"/>
              </w:rPr>
              <w:t>Ascione</w:t>
            </w:r>
            <w:proofErr w:type="spellEnd"/>
            <w:r>
              <w:rPr>
                <w:rFonts w:ascii="Arial Narrow" w:eastAsia="Arial Narrow" w:hAnsi="Arial Narrow" w:cs="Arial Narrow"/>
                <w:sz w:val="24"/>
                <w:szCs w:val="24"/>
              </w:rPr>
              <w:t xml:space="preserve"> &amp; </w:t>
            </w:r>
            <w:proofErr w:type="spellStart"/>
            <w:r>
              <w:rPr>
                <w:rFonts w:ascii="Arial Narrow" w:eastAsia="Arial Narrow" w:hAnsi="Arial Narrow" w:cs="Arial Narrow"/>
                <w:sz w:val="24"/>
                <w:szCs w:val="24"/>
              </w:rPr>
              <w:t>Arkow</w:t>
            </w:r>
            <w:proofErr w:type="spellEnd"/>
            <w:r>
              <w:rPr>
                <w:rFonts w:ascii="Arial Narrow" w:eastAsia="Arial Narrow" w:hAnsi="Arial Narrow" w:cs="Arial Narrow"/>
                <w:sz w:val="24"/>
                <w:szCs w:val="24"/>
              </w:rPr>
              <w:t xml:space="preserve">, 1999; Monsalve et al., 2017; </w:t>
            </w:r>
            <w:proofErr w:type="spellStart"/>
            <w:r>
              <w:rPr>
                <w:rFonts w:ascii="Arial Narrow" w:eastAsia="Arial Narrow" w:hAnsi="Arial Narrow" w:cs="Arial Narrow"/>
                <w:sz w:val="24"/>
                <w:szCs w:val="24"/>
              </w:rPr>
              <w:t>Jegatheesan</w:t>
            </w:r>
            <w:proofErr w:type="spellEnd"/>
            <w:r>
              <w:rPr>
                <w:rFonts w:ascii="Arial Narrow" w:eastAsia="Arial Narrow" w:hAnsi="Arial Narrow" w:cs="Arial Narrow"/>
                <w:sz w:val="24"/>
                <w:szCs w:val="24"/>
              </w:rPr>
              <w:t xml:space="preserve"> et al., 2020).</w:t>
            </w:r>
          </w:p>
          <w:p w14:paraId="7C5D0709" w14:textId="77777777" w:rsidR="00685978" w:rsidRDefault="00000000">
            <w:pPr>
              <w:spacing w:before="280" w:after="280"/>
              <w:jc w:val="both"/>
              <w:rPr>
                <w:rFonts w:ascii="Arial Narrow" w:eastAsia="Arial Narrow" w:hAnsi="Arial Narrow" w:cs="Arial Narrow"/>
                <w:sz w:val="24"/>
                <w:szCs w:val="24"/>
              </w:rPr>
            </w:pPr>
            <w:r>
              <w:rPr>
                <w:rFonts w:ascii="Arial Narrow" w:eastAsia="Arial Narrow" w:hAnsi="Arial Narrow" w:cs="Arial Narrow"/>
                <w:sz w:val="24"/>
                <w:szCs w:val="24"/>
              </w:rPr>
              <w:lastRenderedPageBreak/>
              <w:t>En aplicación de ambos enfoques, la Ruta se estructura bajo criterios de articulación interinstitucional, interoperabilidad, prevención del daño, gestión integral del riesgo y coordinación multinivel, reconociendo que la atención efectiva del maltrato animal requiere la concurrencia armónica de múltiples sectores y disciplinas, incluyendo autoridades ambientales, sanitarias, policivas, judiciales, agropecuarias, educativas y sociales.</w:t>
            </w:r>
          </w:p>
          <w:p w14:paraId="17E3F1BD" w14:textId="77777777" w:rsidR="00685978" w:rsidRDefault="00000000">
            <w:pPr>
              <w:spacing w:before="280" w:after="280"/>
              <w:jc w:val="both"/>
              <w:rPr>
                <w:rFonts w:ascii="Arial Narrow" w:eastAsia="Arial Narrow" w:hAnsi="Arial Narrow" w:cs="Arial Narrow"/>
                <w:sz w:val="24"/>
                <w:szCs w:val="24"/>
              </w:rPr>
            </w:pPr>
            <w:r>
              <w:rPr>
                <w:rFonts w:ascii="Arial Narrow" w:eastAsia="Arial Narrow" w:hAnsi="Arial Narrow" w:cs="Arial Narrow"/>
                <w:sz w:val="24"/>
                <w:szCs w:val="24"/>
              </w:rPr>
              <w:t xml:space="preserve">La literatura científica internacional ha documentado de manera consistente la existencia de asociaciones significativas entre el maltrato animal y diversas formas de violencia interpersonal. Este fenómeno, conocido internacionalmente como </w:t>
            </w:r>
            <w:proofErr w:type="spellStart"/>
            <w:r>
              <w:rPr>
                <w:rFonts w:ascii="Arial Narrow" w:eastAsia="Arial Narrow" w:hAnsi="Arial Narrow" w:cs="Arial Narrow"/>
                <w:i/>
                <w:iCs/>
                <w:sz w:val="24"/>
                <w:szCs w:val="24"/>
              </w:rPr>
              <w:t>The</w:t>
            </w:r>
            <w:proofErr w:type="spellEnd"/>
            <w:r>
              <w:rPr>
                <w:rFonts w:ascii="Arial Narrow" w:eastAsia="Arial Narrow" w:hAnsi="Arial Narrow" w:cs="Arial Narrow"/>
                <w:i/>
                <w:iCs/>
                <w:sz w:val="24"/>
                <w:szCs w:val="24"/>
              </w:rPr>
              <w:t xml:space="preserve"> Link</w:t>
            </w:r>
            <w:r>
              <w:rPr>
                <w:rFonts w:ascii="Arial Narrow" w:eastAsia="Arial Narrow" w:hAnsi="Arial Narrow" w:cs="Arial Narrow"/>
                <w:sz w:val="24"/>
                <w:szCs w:val="24"/>
              </w:rPr>
              <w:t xml:space="preserve"> o violencias interrelacionadas, ha sido objeto de investigación sistemática desde la década de 1990 y constituye hoy uno de los fundamentos más robustos para la incorporación del componente psicosocial en las rutas de atención al maltrato animal.</w:t>
            </w:r>
          </w:p>
          <w:p w14:paraId="1EBD90BE" w14:textId="77777777" w:rsidR="00685978" w:rsidRDefault="00000000">
            <w:pPr>
              <w:spacing w:before="280" w:after="280"/>
              <w:jc w:val="both"/>
              <w:rPr>
                <w:rFonts w:ascii="Arial Narrow" w:eastAsia="Arial Narrow" w:hAnsi="Arial Narrow" w:cs="Arial Narrow"/>
                <w:sz w:val="24"/>
                <w:szCs w:val="24"/>
              </w:rPr>
            </w:pPr>
            <w:r>
              <w:rPr>
                <w:rFonts w:ascii="Arial Narrow" w:eastAsia="Arial Narrow" w:hAnsi="Arial Narrow" w:cs="Arial Narrow"/>
                <w:sz w:val="24"/>
                <w:szCs w:val="24"/>
              </w:rPr>
              <w:t xml:space="preserve">Estudios pioneros como los de </w:t>
            </w:r>
            <w:proofErr w:type="spellStart"/>
            <w:r>
              <w:rPr>
                <w:rFonts w:ascii="Arial Narrow" w:eastAsia="Arial Narrow" w:hAnsi="Arial Narrow" w:cs="Arial Narrow"/>
                <w:sz w:val="24"/>
                <w:szCs w:val="24"/>
              </w:rPr>
              <w:t>Ascione</w:t>
            </w:r>
            <w:proofErr w:type="spellEnd"/>
            <w:r>
              <w:rPr>
                <w:rFonts w:ascii="Arial Narrow" w:eastAsia="Arial Narrow" w:hAnsi="Arial Narrow" w:cs="Arial Narrow"/>
                <w:sz w:val="24"/>
                <w:szCs w:val="24"/>
              </w:rPr>
              <w:t xml:space="preserve"> (1993) y </w:t>
            </w:r>
            <w:proofErr w:type="spellStart"/>
            <w:r>
              <w:rPr>
                <w:rFonts w:ascii="Arial Narrow" w:eastAsia="Arial Narrow" w:hAnsi="Arial Narrow" w:cs="Arial Narrow"/>
                <w:sz w:val="24"/>
                <w:szCs w:val="24"/>
              </w:rPr>
              <w:t>Kellert</w:t>
            </w:r>
            <w:proofErr w:type="spellEnd"/>
            <w:r>
              <w:rPr>
                <w:rFonts w:ascii="Arial Narrow" w:eastAsia="Arial Narrow" w:hAnsi="Arial Narrow" w:cs="Arial Narrow"/>
                <w:sz w:val="24"/>
                <w:szCs w:val="24"/>
              </w:rPr>
              <w:t xml:space="preserve"> y </w:t>
            </w:r>
            <w:proofErr w:type="spellStart"/>
            <w:r>
              <w:rPr>
                <w:rFonts w:ascii="Arial Narrow" w:eastAsia="Arial Narrow" w:hAnsi="Arial Narrow" w:cs="Arial Narrow"/>
                <w:sz w:val="24"/>
                <w:szCs w:val="24"/>
              </w:rPr>
              <w:t>Felthous</w:t>
            </w:r>
            <w:proofErr w:type="spellEnd"/>
            <w:r>
              <w:rPr>
                <w:rFonts w:ascii="Arial Narrow" w:eastAsia="Arial Narrow" w:hAnsi="Arial Narrow" w:cs="Arial Narrow"/>
                <w:sz w:val="24"/>
                <w:szCs w:val="24"/>
              </w:rPr>
              <w:t xml:space="preserve"> (1985) establecieron las bases empíricas de esta relación. Investigaciones posteriores han documentado que la crueldad hacia animales es un predictor significativo de conductas violentas hacia personas, incluyendo violencia intrafamiliar (</w:t>
            </w:r>
            <w:proofErr w:type="spellStart"/>
            <w:r>
              <w:rPr>
                <w:rFonts w:ascii="Arial Narrow" w:eastAsia="Arial Narrow" w:hAnsi="Arial Narrow" w:cs="Arial Narrow"/>
                <w:sz w:val="24"/>
                <w:szCs w:val="24"/>
              </w:rPr>
              <w:t>Ascione</w:t>
            </w:r>
            <w:proofErr w:type="spellEnd"/>
            <w:r>
              <w:rPr>
                <w:rFonts w:ascii="Arial Narrow" w:eastAsia="Arial Narrow" w:hAnsi="Arial Narrow" w:cs="Arial Narrow"/>
                <w:sz w:val="24"/>
                <w:szCs w:val="24"/>
              </w:rPr>
              <w:t xml:space="preserve"> et al., 2007), abuso infantil (</w:t>
            </w:r>
            <w:proofErr w:type="spellStart"/>
            <w:r>
              <w:rPr>
                <w:rFonts w:ascii="Arial Narrow" w:eastAsia="Arial Narrow" w:hAnsi="Arial Narrow" w:cs="Arial Narrow"/>
                <w:sz w:val="24"/>
                <w:szCs w:val="24"/>
              </w:rPr>
              <w:t>DeViney</w:t>
            </w:r>
            <w:proofErr w:type="spellEnd"/>
            <w:r>
              <w:rPr>
                <w:rFonts w:ascii="Arial Narrow" w:eastAsia="Arial Narrow" w:hAnsi="Arial Narrow" w:cs="Arial Narrow"/>
                <w:sz w:val="24"/>
                <w:szCs w:val="24"/>
              </w:rPr>
              <w:t xml:space="preserve"> et al., 1983; </w:t>
            </w:r>
            <w:proofErr w:type="spellStart"/>
            <w:r>
              <w:rPr>
                <w:rFonts w:ascii="Arial Narrow" w:eastAsia="Arial Narrow" w:hAnsi="Arial Narrow" w:cs="Arial Narrow"/>
                <w:sz w:val="24"/>
                <w:szCs w:val="24"/>
              </w:rPr>
              <w:t>Volant</w:t>
            </w:r>
            <w:proofErr w:type="spellEnd"/>
            <w:r>
              <w:rPr>
                <w:rFonts w:ascii="Arial Narrow" w:eastAsia="Arial Narrow" w:hAnsi="Arial Narrow" w:cs="Arial Narrow"/>
                <w:sz w:val="24"/>
                <w:szCs w:val="24"/>
              </w:rPr>
              <w:t xml:space="preserve"> et al., 2008), violencia de pareja (</w:t>
            </w:r>
            <w:proofErr w:type="spellStart"/>
            <w:r>
              <w:rPr>
                <w:rFonts w:ascii="Arial Narrow" w:eastAsia="Arial Narrow" w:hAnsi="Arial Narrow" w:cs="Arial Narrow"/>
                <w:sz w:val="24"/>
                <w:szCs w:val="24"/>
              </w:rPr>
              <w:t>Faver</w:t>
            </w:r>
            <w:proofErr w:type="spellEnd"/>
            <w:r>
              <w:rPr>
                <w:rFonts w:ascii="Arial Narrow" w:eastAsia="Arial Narrow" w:hAnsi="Arial Narrow" w:cs="Arial Narrow"/>
                <w:sz w:val="24"/>
                <w:szCs w:val="24"/>
              </w:rPr>
              <w:t xml:space="preserve"> &amp; </w:t>
            </w:r>
            <w:proofErr w:type="spellStart"/>
            <w:r>
              <w:rPr>
                <w:rFonts w:ascii="Arial Narrow" w:eastAsia="Arial Narrow" w:hAnsi="Arial Narrow" w:cs="Arial Narrow"/>
                <w:sz w:val="24"/>
                <w:szCs w:val="24"/>
              </w:rPr>
              <w:t>Strand</w:t>
            </w:r>
            <w:proofErr w:type="spellEnd"/>
            <w:r>
              <w:rPr>
                <w:rFonts w:ascii="Arial Narrow" w:eastAsia="Arial Narrow" w:hAnsi="Arial Narrow" w:cs="Arial Narrow"/>
                <w:sz w:val="24"/>
                <w:szCs w:val="24"/>
              </w:rPr>
              <w:t>, 2003) y criminalidad violenta (</w:t>
            </w:r>
            <w:proofErr w:type="spellStart"/>
            <w:r>
              <w:rPr>
                <w:rFonts w:ascii="Arial Narrow" w:eastAsia="Arial Narrow" w:hAnsi="Arial Narrow" w:cs="Arial Narrow"/>
                <w:sz w:val="24"/>
                <w:szCs w:val="24"/>
              </w:rPr>
              <w:t>Tallichet</w:t>
            </w:r>
            <w:proofErr w:type="spellEnd"/>
            <w:r>
              <w:rPr>
                <w:rFonts w:ascii="Arial Narrow" w:eastAsia="Arial Narrow" w:hAnsi="Arial Narrow" w:cs="Arial Narrow"/>
                <w:sz w:val="24"/>
                <w:szCs w:val="24"/>
              </w:rPr>
              <w:t xml:space="preserve"> &amp; Hensley, 2002). En el contexto latinoamericano, Monsalve et al. (2017) documentaron la presencia de esta asociación en Colombia, aportando evidencia específica para el contexto nacional.</w:t>
            </w:r>
          </w:p>
          <w:p w14:paraId="69667B86" w14:textId="77777777" w:rsidR="00685978" w:rsidRDefault="00000000">
            <w:pPr>
              <w:spacing w:before="280" w:after="280"/>
              <w:jc w:val="both"/>
              <w:rPr>
                <w:rFonts w:ascii="Arial Narrow" w:eastAsia="Arial Narrow" w:hAnsi="Arial Narrow" w:cs="Arial Narrow"/>
                <w:sz w:val="24"/>
                <w:szCs w:val="24"/>
              </w:rPr>
            </w:pPr>
            <w:r>
              <w:rPr>
                <w:rFonts w:ascii="Arial Narrow" w:eastAsia="Arial Narrow" w:hAnsi="Arial Narrow" w:cs="Arial Narrow"/>
                <w:sz w:val="24"/>
                <w:szCs w:val="24"/>
              </w:rPr>
              <w:t xml:space="preserve">Asimismo, </w:t>
            </w:r>
            <w:proofErr w:type="spellStart"/>
            <w:r>
              <w:rPr>
                <w:rFonts w:ascii="Arial Narrow" w:eastAsia="Arial Narrow" w:hAnsi="Arial Narrow" w:cs="Arial Narrow"/>
                <w:sz w:val="24"/>
                <w:szCs w:val="24"/>
              </w:rPr>
              <w:t>Jegatheesan</w:t>
            </w:r>
            <w:proofErr w:type="spellEnd"/>
            <w:r>
              <w:rPr>
                <w:rFonts w:ascii="Arial Narrow" w:eastAsia="Arial Narrow" w:hAnsi="Arial Narrow" w:cs="Arial Narrow"/>
                <w:sz w:val="24"/>
                <w:szCs w:val="24"/>
              </w:rPr>
              <w:t xml:space="preserve"> et al. (2020), en el marco del </w:t>
            </w:r>
            <w:r>
              <w:rPr>
                <w:rFonts w:ascii="Arial Narrow" w:eastAsia="Arial Narrow" w:hAnsi="Arial Narrow" w:cs="Arial Narrow"/>
                <w:i/>
                <w:iCs/>
                <w:sz w:val="24"/>
                <w:szCs w:val="24"/>
              </w:rPr>
              <w:t xml:space="preserve">International </w:t>
            </w:r>
            <w:proofErr w:type="spellStart"/>
            <w:r>
              <w:rPr>
                <w:rFonts w:ascii="Arial Narrow" w:eastAsia="Arial Narrow" w:hAnsi="Arial Narrow" w:cs="Arial Narrow"/>
                <w:i/>
                <w:iCs/>
                <w:sz w:val="24"/>
                <w:szCs w:val="24"/>
              </w:rPr>
              <w:t>Companion</w:t>
            </w:r>
            <w:proofErr w:type="spellEnd"/>
            <w:r>
              <w:rPr>
                <w:rFonts w:ascii="Arial Narrow" w:eastAsia="Arial Narrow" w:hAnsi="Arial Narrow" w:cs="Arial Narrow"/>
                <w:i/>
                <w:iCs/>
                <w:sz w:val="24"/>
                <w:szCs w:val="24"/>
              </w:rPr>
              <w:t xml:space="preserve"> Animal Management </w:t>
            </w:r>
            <w:proofErr w:type="spellStart"/>
            <w:r>
              <w:rPr>
                <w:rFonts w:ascii="Arial Narrow" w:eastAsia="Arial Narrow" w:hAnsi="Arial Narrow" w:cs="Arial Narrow"/>
                <w:i/>
                <w:iCs/>
                <w:sz w:val="24"/>
                <w:szCs w:val="24"/>
              </w:rPr>
              <w:t>Coalition</w:t>
            </w:r>
            <w:proofErr w:type="spellEnd"/>
            <w:r>
              <w:rPr>
                <w:rFonts w:ascii="Arial Narrow" w:eastAsia="Arial Narrow" w:hAnsi="Arial Narrow" w:cs="Arial Narrow"/>
                <w:sz w:val="24"/>
                <w:szCs w:val="24"/>
              </w:rPr>
              <w:t xml:space="preserve"> (ICAM), desarrollaron un marco conceptual comprensivo que articula la protección animal con la prevención de la violencia doméstica y los sistemas de protección infantil, siendo referente para el diseño de rutas interinstitucionales de atención.</w:t>
            </w:r>
          </w:p>
          <w:p w14:paraId="1B9DADDB" w14:textId="77777777" w:rsidR="00685978" w:rsidRDefault="00000000">
            <w:pPr>
              <w:spacing w:before="280" w:after="280"/>
              <w:jc w:val="both"/>
              <w:rPr>
                <w:rFonts w:ascii="Arial Narrow" w:eastAsia="Arial Narrow" w:hAnsi="Arial Narrow" w:cs="Arial Narrow"/>
                <w:color w:val="FFFFFF"/>
                <w:sz w:val="24"/>
                <w:szCs w:val="24"/>
              </w:rPr>
            </w:pPr>
            <w:r>
              <w:rPr>
                <w:rFonts w:ascii="Arial Narrow" w:eastAsia="Arial Narrow" w:hAnsi="Arial Narrow" w:cs="Arial Narrow"/>
                <w:sz w:val="24"/>
                <w:szCs w:val="24"/>
              </w:rPr>
              <w:t>La identificación de posibles indicadores de violencia interrelacionada; tales como amenazas contra animales, utilización de animales como mecanismos de coerción o intimidación, coexistencia de violencia hacia personas y animales, negligencia severa, aislamiento o antecedentes de violencia intrafamiliar, constituye, por tanto, un componente técnico indispensable en la valoración integral de los casos de presunto maltrato animal, y justifica la articulación institucional con comisarías de familia, entidades de protección social, sector salud y autoridades judiciales prevista e</w:t>
            </w:r>
            <w:r>
              <w:rPr>
                <w:rFonts w:ascii="Arial Narrow" w:eastAsia="Arial Narrow" w:hAnsi="Arial Narrow" w:cs="Arial Narrow"/>
                <w:color w:val="FFFFFF"/>
                <w:sz w:val="24"/>
                <w:szCs w:val="24"/>
              </w:rPr>
              <w:t>n la Ruta.</w:t>
            </w:r>
          </w:p>
          <w:p w14:paraId="0B236CCC" w14:textId="77777777" w:rsidR="00685978" w:rsidRDefault="00000000">
            <w:pPr>
              <w:spacing w:before="280" w:after="280"/>
              <w:jc w:val="both"/>
              <w:rPr>
                <w:rFonts w:ascii="Arial Narrow" w:eastAsia="Arial Narrow" w:hAnsi="Arial Narrow" w:cs="Arial Narrow"/>
                <w:sz w:val="24"/>
                <w:szCs w:val="24"/>
              </w:rPr>
            </w:pPr>
            <w:r>
              <w:rPr>
                <w:rFonts w:ascii="Arial Narrow" w:eastAsia="Arial Narrow" w:hAnsi="Arial Narrow" w:cs="Arial Narrow"/>
                <w:sz w:val="24"/>
                <w:szCs w:val="24"/>
              </w:rPr>
              <w:t>La acumulación de animales (</w:t>
            </w:r>
            <w:r>
              <w:rPr>
                <w:rFonts w:ascii="Arial Narrow" w:eastAsia="Arial Narrow" w:hAnsi="Arial Narrow" w:cs="Arial Narrow"/>
                <w:i/>
                <w:iCs/>
                <w:sz w:val="24"/>
                <w:szCs w:val="24"/>
              </w:rPr>
              <w:t xml:space="preserve">animal </w:t>
            </w:r>
            <w:proofErr w:type="spellStart"/>
            <w:r>
              <w:rPr>
                <w:rFonts w:ascii="Arial Narrow" w:eastAsia="Arial Narrow" w:hAnsi="Arial Narrow" w:cs="Arial Narrow"/>
                <w:i/>
                <w:iCs/>
                <w:sz w:val="24"/>
                <w:szCs w:val="24"/>
              </w:rPr>
              <w:t>hoarding</w:t>
            </w:r>
            <w:proofErr w:type="spellEnd"/>
            <w:r>
              <w:rPr>
                <w:rFonts w:ascii="Arial Narrow" w:eastAsia="Arial Narrow" w:hAnsi="Arial Narrow" w:cs="Arial Narrow"/>
                <w:sz w:val="24"/>
                <w:szCs w:val="24"/>
              </w:rPr>
              <w:t>) constituye una situación compleja caracterizada por la coexistencia de un número de animales superior a la capacidad objetiva de cuidado del responsable, deterioro progresivo de las condiciones de bienestar, dificultades de manejo, afectaciones sanitarias, negación parcial o total de la problemática y factores psicosociales asociados (</w:t>
            </w:r>
            <w:proofErr w:type="spellStart"/>
            <w:r>
              <w:rPr>
                <w:rFonts w:ascii="Arial Narrow" w:eastAsia="Arial Narrow" w:hAnsi="Arial Narrow" w:cs="Arial Narrow"/>
                <w:sz w:val="24"/>
                <w:szCs w:val="24"/>
              </w:rPr>
              <w:t>Patronek</w:t>
            </w:r>
            <w:proofErr w:type="spellEnd"/>
            <w:r>
              <w:rPr>
                <w:rFonts w:ascii="Arial Narrow" w:eastAsia="Arial Narrow" w:hAnsi="Arial Narrow" w:cs="Arial Narrow"/>
                <w:sz w:val="24"/>
                <w:szCs w:val="24"/>
              </w:rPr>
              <w:t xml:space="preserve">, 1999; </w:t>
            </w:r>
            <w:proofErr w:type="spellStart"/>
            <w:r>
              <w:rPr>
                <w:rFonts w:ascii="Arial Narrow" w:eastAsia="Arial Narrow" w:hAnsi="Arial Narrow" w:cs="Arial Narrow"/>
                <w:sz w:val="24"/>
                <w:szCs w:val="24"/>
              </w:rPr>
              <w:t>Arluke</w:t>
            </w:r>
            <w:proofErr w:type="spellEnd"/>
            <w:r>
              <w:rPr>
                <w:rFonts w:ascii="Arial Narrow" w:eastAsia="Arial Narrow" w:hAnsi="Arial Narrow" w:cs="Arial Narrow"/>
                <w:sz w:val="24"/>
                <w:szCs w:val="24"/>
              </w:rPr>
              <w:t xml:space="preserve"> et al., 2002).</w:t>
            </w:r>
          </w:p>
          <w:p w14:paraId="69119776" w14:textId="77777777" w:rsidR="00685978" w:rsidRDefault="00000000">
            <w:pPr>
              <w:spacing w:before="280" w:after="280"/>
              <w:jc w:val="both"/>
              <w:rPr>
                <w:rFonts w:ascii="Arial Narrow" w:eastAsia="Arial Narrow" w:hAnsi="Arial Narrow" w:cs="Arial Narrow"/>
                <w:sz w:val="24"/>
                <w:szCs w:val="24"/>
              </w:rPr>
            </w:pPr>
            <w:r>
              <w:rPr>
                <w:rFonts w:ascii="Arial Narrow" w:eastAsia="Arial Narrow" w:hAnsi="Arial Narrow" w:cs="Arial Narrow"/>
                <w:sz w:val="24"/>
                <w:szCs w:val="24"/>
              </w:rPr>
              <w:t>Desde la perspectiva clínica y psicosocial, la acumulación de animales ha sido asociada en la literatura especializada con trastornos de acumulación compulsiva (</w:t>
            </w:r>
            <w:proofErr w:type="spellStart"/>
            <w:r>
              <w:rPr>
                <w:rFonts w:ascii="Arial Narrow" w:eastAsia="Arial Narrow" w:hAnsi="Arial Narrow" w:cs="Arial Narrow"/>
                <w:i/>
                <w:iCs/>
                <w:sz w:val="24"/>
                <w:szCs w:val="24"/>
              </w:rPr>
              <w:t>hoarding</w:t>
            </w:r>
            <w:proofErr w:type="spellEnd"/>
            <w:r>
              <w:rPr>
                <w:rFonts w:ascii="Arial Narrow" w:eastAsia="Arial Narrow" w:hAnsi="Arial Narrow" w:cs="Arial Narrow"/>
                <w:i/>
                <w:iCs/>
                <w:sz w:val="24"/>
                <w:szCs w:val="24"/>
              </w:rPr>
              <w:t xml:space="preserve"> </w:t>
            </w:r>
            <w:proofErr w:type="spellStart"/>
            <w:r>
              <w:rPr>
                <w:rFonts w:ascii="Arial Narrow" w:eastAsia="Arial Narrow" w:hAnsi="Arial Narrow" w:cs="Arial Narrow"/>
                <w:i/>
                <w:iCs/>
                <w:sz w:val="24"/>
                <w:szCs w:val="24"/>
              </w:rPr>
              <w:t>disorder</w:t>
            </w:r>
            <w:proofErr w:type="spellEnd"/>
            <w:r>
              <w:rPr>
                <w:rFonts w:ascii="Arial Narrow" w:eastAsia="Arial Narrow" w:hAnsi="Arial Narrow" w:cs="Arial Narrow"/>
                <w:sz w:val="24"/>
                <w:szCs w:val="24"/>
              </w:rPr>
              <w:t xml:space="preserve">), deterioro cognitivo, trastornos del apego, aislamiento social, consumo problemático de sustancias y otras condiciones de vulnerabilidad que requieren intervención intersectorial (Frost et al., 2011; DSM-5, APA, 2013). La quinta edición del </w:t>
            </w:r>
            <w:r>
              <w:rPr>
                <w:rFonts w:ascii="Arial Narrow" w:eastAsia="Arial Narrow" w:hAnsi="Arial Narrow" w:cs="Arial Narrow"/>
                <w:i/>
                <w:iCs/>
                <w:sz w:val="24"/>
                <w:szCs w:val="24"/>
              </w:rPr>
              <w:t xml:space="preserve">Manual Diagnóstico y Estadístico de los Trastornos Mentales </w:t>
            </w:r>
            <w:r>
              <w:rPr>
                <w:rFonts w:ascii="Arial Narrow" w:eastAsia="Arial Narrow" w:hAnsi="Arial Narrow" w:cs="Arial Narrow"/>
                <w:sz w:val="24"/>
                <w:szCs w:val="24"/>
              </w:rPr>
              <w:t>(DSM-5) reconoce el trastorno de acumulación como categoría diagnóstica independiente, lo que refuerza la necesidad de incorporar la dimensión de salud mental en la respuesta institucional.</w:t>
            </w:r>
          </w:p>
          <w:p w14:paraId="62EC8366" w14:textId="77777777" w:rsidR="00685978" w:rsidRDefault="00000000">
            <w:pPr>
              <w:spacing w:before="280" w:after="280"/>
              <w:jc w:val="both"/>
              <w:rPr>
                <w:rFonts w:ascii="Arial Narrow" w:eastAsia="Arial Narrow" w:hAnsi="Arial Narrow" w:cs="Arial Narrow"/>
                <w:sz w:val="24"/>
                <w:szCs w:val="24"/>
              </w:rPr>
            </w:pPr>
            <w:r>
              <w:rPr>
                <w:rFonts w:ascii="Arial Narrow" w:eastAsia="Arial Narrow" w:hAnsi="Arial Narrow" w:cs="Arial Narrow"/>
                <w:sz w:val="24"/>
                <w:szCs w:val="24"/>
              </w:rPr>
              <w:t xml:space="preserve">Desde la perspectiva sanitaria, la acumulación genera riesgos epidemiológicos, zoonóticos y ambientales que justifican la articulación con las autoridades de salud pública. La valoración de estos casos debe considerar el número de animales </w:t>
            </w:r>
            <w:r>
              <w:rPr>
                <w:rFonts w:ascii="Arial Narrow" w:eastAsia="Arial Narrow" w:hAnsi="Arial Narrow" w:cs="Arial Narrow"/>
                <w:sz w:val="24"/>
                <w:szCs w:val="24"/>
              </w:rPr>
              <w:lastRenderedPageBreak/>
              <w:t>involucrados, las condiciones de alojamiento, higiene y ventilación, la presencia de animales enfermos o fallecidos, la capacidad funcional del responsable y los posibles riesgos para la comunidad.</w:t>
            </w:r>
          </w:p>
          <w:p w14:paraId="2679D1B9" w14:textId="77777777" w:rsidR="00685978" w:rsidRDefault="00000000">
            <w:pPr>
              <w:spacing w:before="280" w:after="280"/>
              <w:jc w:val="both"/>
              <w:rPr>
                <w:rFonts w:ascii="Arial Narrow" w:eastAsia="Arial Narrow" w:hAnsi="Arial Narrow" w:cs="Arial Narrow"/>
                <w:sz w:val="24"/>
                <w:szCs w:val="24"/>
              </w:rPr>
            </w:pPr>
            <w:r>
              <w:rPr>
                <w:rFonts w:ascii="Arial Narrow" w:eastAsia="Arial Narrow" w:hAnsi="Arial Narrow" w:cs="Arial Narrow"/>
                <w:sz w:val="24"/>
                <w:szCs w:val="24"/>
              </w:rPr>
              <w:t>La intervención en escenarios de acumulación deberá desarrollarse mediante enfoques progresivos, proporcionales e interinstitucionales, procurando la protección efectiva de los animales y la articulación con entidades del sector salud, protección social, autoridades sanitarias y demás instancias competentes.</w:t>
            </w:r>
          </w:p>
          <w:p w14:paraId="2A6F6EBD" w14:textId="77777777" w:rsidR="00685978" w:rsidRDefault="00000000">
            <w:pPr>
              <w:spacing w:before="280" w:after="280"/>
              <w:jc w:val="both"/>
              <w:rPr>
                <w:rFonts w:ascii="Arial Narrow" w:eastAsia="Arial Narrow" w:hAnsi="Arial Narrow" w:cs="Arial Narrow"/>
                <w:sz w:val="24"/>
                <w:szCs w:val="24"/>
              </w:rPr>
            </w:pPr>
            <w:r>
              <w:rPr>
                <w:rFonts w:ascii="Arial Narrow" w:eastAsia="Arial Narrow" w:hAnsi="Arial Narrow" w:cs="Arial Narrow"/>
                <w:sz w:val="24"/>
                <w:szCs w:val="24"/>
              </w:rPr>
              <w:t>La determinación técnica del menoscabo al bienestar animal exige la aplicación de criterios científicos integrales que trasciendan la constatación de lesiones físicas visibles. La etología clínica y la medicina del comportamiento animal aportan herramientas metodológicas validadas para la identificación de estados afectivos negativos, sufrimiento emocional y alteraciones conductuales derivadas de situaciones de maltrato, incluso en ausencia de daño anatómico evidente (</w:t>
            </w:r>
            <w:proofErr w:type="spellStart"/>
            <w:r>
              <w:rPr>
                <w:rFonts w:ascii="Arial Narrow" w:eastAsia="Arial Narrow" w:hAnsi="Arial Narrow" w:cs="Arial Narrow"/>
                <w:sz w:val="24"/>
                <w:szCs w:val="24"/>
              </w:rPr>
              <w:t>Boissy</w:t>
            </w:r>
            <w:proofErr w:type="spellEnd"/>
            <w:r>
              <w:rPr>
                <w:rFonts w:ascii="Arial Narrow" w:eastAsia="Arial Narrow" w:hAnsi="Arial Narrow" w:cs="Arial Narrow"/>
                <w:sz w:val="24"/>
                <w:szCs w:val="24"/>
              </w:rPr>
              <w:t xml:space="preserve"> et al., 2007; Paul et al., 2005).</w:t>
            </w:r>
          </w:p>
          <w:p w14:paraId="0FF81BE9" w14:textId="77777777" w:rsidR="00685978" w:rsidRDefault="00000000">
            <w:pPr>
              <w:spacing w:before="280" w:after="280"/>
              <w:jc w:val="both"/>
              <w:rPr>
                <w:rFonts w:ascii="Arial Narrow" w:eastAsia="Arial Narrow" w:hAnsi="Arial Narrow" w:cs="Arial Narrow"/>
                <w:sz w:val="24"/>
                <w:szCs w:val="24"/>
              </w:rPr>
            </w:pPr>
            <w:r>
              <w:rPr>
                <w:rFonts w:ascii="Arial Narrow" w:eastAsia="Arial Narrow" w:hAnsi="Arial Narrow" w:cs="Arial Narrow"/>
                <w:sz w:val="24"/>
                <w:szCs w:val="24"/>
              </w:rPr>
              <w:t>La valoración etológica y comportamental se fundamenta en el reconocimiento de que los animales expresan el sufrimiento a través de modificaciones en patrones de comportamiento, respuestas fisiológicas, posturas corporales, vocalizaciones y alteraciones en la interacción social, que pueden ser identificadas y documentadas mediante metodologías validadas por especie (Fraser, 2008; Manteca et al., 2012). Herramientas como las escalas de evaluación del dolor (</w:t>
            </w:r>
            <w:proofErr w:type="spellStart"/>
            <w:r>
              <w:rPr>
                <w:rFonts w:ascii="Arial Narrow" w:eastAsia="Arial Narrow" w:hAnsi="Arial Narrow" w:cs="Arial Narrow"/>
                <w:i/>
                <w:iCs/>
                <w:sz w:val="24"/>
                <w:szCs w:val="24"/>
              </w:rPr>
              <w:t>pain</w:t>
            </w:r>
            <w:proofErr w:type="spellEnd"/>
            <w:r>
              <w:rPr>
                <w:rFonts w:ascii="Arial Narrow" w:eastAsia="Arial Narrow" w:hAnsi="Arial Narrow" w:cs="Arial Narrow"/>
                <w:i/>
                <w:iCs/>
                <w:sz w:val="24"/>
                <w:szCs w:val="24"/>
              </w:rPr>
              <w:t xml:space="preserve"> </w:t>
            </w:r>
            <w:proofErr w:type="spellStart"/>
            <w:r>
              <w:rPr>
                <w:rFonts w:ascii="Arial Narrow" w:eastAsia="Arial Narrow" w:hAnsi="Arial Narrow" w:cs="Arial Narrow"/>
                <w:i/>
                <w:iCs/>
                <w:sz w:val="24"/>
                <w:szCs w:val="24"/>
              </w:rPr>
              <w:t>scoring</w:t>
            </w:r>
            <w:proofErr w:type="spellEnd"/>
            <w:r>
              <w:rPr>
                <w:rFonts w:ascii="Arial Narrow" w:eastAsia="Arial Narrow" w:hAnsi="Arial Narrow" w:cs="Arial Narrow"/>
                <w:i/>
                <w:iCs/>
                <w:sz w:val="24"/>
                <w:szCs w:val="24"/>
              </w:rPr>
              <w:t xml:space="preserve"> </w:t>
            </w:r>
            <w:proofErr w:type="spellStart"/>
            <w:r>
              <w:rPr>
                <w:rFonts w:ascii="Arial Narrow" w:eastAsia="Arial Narrow" w:hAnsi="Arial Narrow" w:cs="Arial Narrow"/>
                <w:i/>
                <w:iCs/>
                <w:sz w:val="24"/>
                <w:szCs w:val="24"/>
              </w:rPr>
              <w:t>scales</w:t>
            </w:r>
            <w:proofErr w:type="spellEnd"/>
            <w:r>
              <w:rPr>
                <w:rFonts w:ascii="Arial Narrow" w:eastAsia="Arial Narrow" w:hAnsi="Arial Narrow" w:cs="Arial Narrow"/>
                <w:sz w:val="24"/>
                <w:szCs w:val="24"/>
              </w:rPr>
              <w:t>), los índices de condición corporal, los etogramas de bienestar y las pruebas de preferencia y motivación han sido validadas científicamente para múltiples especies y constituyen instrumentos técnicos de referencia para la valoración forense y administrativa de los casos (</w:t>
            </w:r>
            <w:proofErr w:type="spellStart"/>
            <w:r>
              <w:rPr>
                <w:rFonts w:ascii="Arial Narrow" w:eastAsia="Arial Narrow" w:hAnsi="Arial Narrow" w:cs="Arial Narrow"/>
                <w:sz w:val="24"/>
                <w:szCs w:val="24"/>
              </w:rPr>
              <w:t>Molony</w:t>
            </w:r>
            <w:proofErr w:type="spellEnd"/>
            <w:r>
              <w:rPr>
                <w:rFonts w:ascii="Arial Narrow" w:eastAsia="Arial Narrow" w:hAnsi="Arial Narrow" w:cs="Arial Narrow"/>
                <w:sz w:val="24"/>
                <w:szCs w:val="24"/>
              </w:rPr>
              <w:t xml:space="preserve"> &amp; Kent, 1997; </w:t>
            </w:r>
            <w:proofErr w:type="spellStart"/>
            <w:r>
              <w:rPr>
                <w:rFonts w:ascii="Arial Narrow" w:eastAsia="Arial Narrow" w:hAnsi="Arial Narrow" w:cs="Arial Narrow"/>
                <w:sz w:val="24"/>
                <w:szCs w:val="24"/>
              </w:rPr>
              <w:t>Weary</w:t>
            </w:r>
            <w:proofErr w:type="spellEnd"/>
            <w:r>
              <w:rPr>
                <w:rFonts w:ascii="Arial Narrow" w:eastAsia="Arial Narrow" w:hAnsi="Arial Narrow" w:cs="Arial Narrow"/>
                <w:sz w:val="24"/>
                <w:szCs w:val="24"/>
              </w:rPr>
              <w:t xml:space="preserve"> et al., 2006).</w:t>
            </w:r>
          </w:p>
          <w:p w14:paraId="3C53658E" w14:textId="77777777" w:rsidR="00685978" w:rsidRDefault="00000000">
            <w:pPr>
              <w:spacing w:before="280" w:after="280"/>
              <w:jc w:val="both"/>
              <w:rPr>
                <w:rFonts w:ascii="Arial Narrow" w:eastAsia="Arial Narrow" w:hAnsi="Arial Narrow" w:cs="Arial Narrow"/>
                <w:sz w:val="24"/>
                <w:szCs w:val="24"/>
              </w:rPr>
            </w:pPr>
            <w:r>
              <w:rPr>
                <w:rFonts w:ascii="Arial Narrow" w:eastAsia="Arial Narrow" w:hAnsi="Arial Narrow" w:cs="Arial Narrow"/>
                <w:sz w:val="24"/>
                <w:szCs w:val="24"/>
              </w:rPr>
              <w:t xml:space="preserve">En materia de dolor patológico, Woolf y </w:t>
            </w:r>
            <w:proofErr w:type="spellStart"/>
            <w:r>
              <w:rPr>
                <w:rFonts w:ascii="Arial Narrow" w:eastAsia="Arial Narrow" w:hAnsi="Arial Narrow" w:cs="Arial Narrow"/>
                <w:sz w:val="24"/>
                <w:szCs w:val="24"/>
              </w:rPr>
              <w:t>Salter</w:t>
            </w:r>
            <w:proofErr w:type="spellEnd"/>
            <w:r>
              <w:rPr>
                <w:rFonts w:ascii="Arial Narrow" w:eastAsia="Arial Narrow" w:hAnsi="Arial Narrow" w:cs="Arial Narrow"/>
                <w:sz w:val="24"/>
                <w:szCs w:val="24"/>
              </w:rPr>
              <w:t xml:space="preserve"> (2000) describieron los mecanismos de sensibilización central como factor determinante en la cronificación del sufrimiento animal, estableciendo que las alteraciones mal-adaptativas de las vías nociceptivas pueden persistir incluso tras la resolución aparente de la lesión inicial, lo que refuerza la necesidad de criterios de valoración que incluyan el dolor neuropático, funcional e inflamatorio crónico como indicadores de menoscabo.</w:t>
            </w:r>
          </w:p>
          <w:p w14:paraId="666BBCFE" w14:textId="77777777" w:rsidR="00685978" w:rsidRDefault="00000000">
            <w:pPr>
              <w:spacing w:before="280" w:after="280"/>
              <w:jc w:val="both"/>
              <w:rPr>
                <w:rFonts w:ascii="Arial Narrow" w:eastAsia="Arial Narrow" w:hAnsi="Arial Narrow" w:cs="Arial Narrow"/>
                <w:sz w:val="24"/>
                <w:szCs w:val="24"/>
              </w:rPr>
            </w:pPr>
            <w:r>
              <w:rPr>
                <w:rFonts w:ascii="Arial Narrow" w:eastAsia="Arial Narrow" w:hAnsi="Arial Narrow" w:cs="Arial Narrow"/>
                <w:sz w:val="24"/>
                <w:szCs w:val="24"/>
              </w:rPr>
              <w:t>Las definiciones contenidas en la presente Ruta y los marcos conceptuales que orientan sus componentes operativos no constituyen en sí misma un antecedente técnico relevante que da cuenta del proceso participativo, interinstitucional y basado en evidencia que orientó su elaboración. Este proceso se inscribe en el mandato del artículo 24 de la Ley 2455 de 2025 y recoge los insumos generados en el marco de diversas mesas técnicas desarrolladas por las entidades que conforman el SINAPYBA, la Fiscalía General de la Nación y la Policía Nacional.</w:t>
            </w:r>
          </w:p>
          <w:p w14:paraId="4E3E5642" w14:textId="77777777" w:rsidR="00685978" w:rsidRDefault="00000000">
            <w:pPr>
              <w:spacing w:before="280" w:after="280"/>
              <w:jc w:val="both"/>
              <w:rPr>
                <w:rFonts w:ascii="Arial Narrow" w:eastAsia="Arial Narrow" w:hAnsi="Arial Narrow" w:cs="Arial Narrow"/>
                <w:sz w:val="24"/>
                <w:szCs w:val="24"/>
              </w:rPr>
            </w:pPr>
            <w:r>
              <w:rPr>
                <w:rFonts w:ascii="Arial Narrow" w:eastAsia="Arial Narrow" w:hAnsi="Arial Narrow" w:cs="Arial Narrow"/>
                <w:sz w:val="24"/>
                <w:szCs w:val="24"/>
              </w:rPr>
              <w:t>Como antecedente fundacional, la Mesa Nacional de Protección Animal de 2024 constituyó el primer ejercicio diagnóstico sistemático de carácter interinstitucional orientado a identificar vacíos, necesidades y lineamientos para el diseño de una ruta de atención al maltrato animal en Colombia. Sus conclusiones evidenciaron la necesidad de un instrumento que articulara los enfoques de Una Salud, Un Bienestar, violencias interrelacionadas y acumulación de animales en un marco operativo coordinado e interoperable.</w:t>
            </w:r>
          </w:p>
          <w:p w14:paraId="487FF0BA" w14:textId="77777777" w:rsidR="00685978" w:rsidRDefault="00000000">
            <w:pPr>
              <w:spacing w:before="280" w:after="280"/>
              <w:jc w:val="both"/>
              <w:rPr>
                <w:rFonts w:ascii="Arial Narrow" w:eastAsia="Arial Narrow" w:hAnsi="Arial Narrow" w:cs="Arial Narrow"/>
                <w:sz w:val="24"/>
                <w:szCs w:val="24"/>
              </w:rPr>
            </w:pPr>
            <w:r>
              <w:rPr>
                <w:rFonts w:ascii="Arial Narrow" w:eastAsia="Arial Narrow" w:hAnsi="Arial Narrow" w:cs="Arial Narrow"/>
                <w:sz w:val="24"/>
                <w:szCs w:val="24"/>
              </w:rPr>
              <w:t>La construcción de las definiciones respondió a la necesidad de unificar criterios técnicos y jurídicos para la atención de los casos de presunto maltrato animal, superar vacíos conceptuales identificados en el ordenamiento vigente y reducir interpretaciones divergentes entre autoridades y entidades intervinientes.</w:t>
            </w:r>
          </w:p>
          <w:p w14:paraId="6F42E5BC" w14:textId="77777777" w:rsidR="00685978" w:rsidRDefault="00000000">
            <w:pPr>
              <w:spacing w:before="280" w:after="280"/>
              <w:jc w:val="both"/>
              <w:rPr>
                <w:rFonts w:ascii="Arial Narrow" w:eastAsia="Arial Narrow" w:hAnsi="Arial Narrow" w:cs="Arial Narrow"/>
                <w:sz w:val="24"/>
                <w:szCs w:val="24"/>
              </w:rPr>
            </w:pPr>
            <w:r>
              <w:rPr>
                <w:rFonts w:ascii="Arial Narrow" w:eastAsia="Arial Narrow" w:hAnsi="Arial Narrow" w:cs="Arial Narrow"/>
                <w:sz w:val="24"/>
                <w:szCs w:val="24"/>
              </w:rPr>
              <w:lastRenderedPageBreak/>
              <w:t>La incorporación de conceptos como sintiencia, menoscabo físico y emocional, dolor patológico, acumulación de animales, violencia interrelacionada, primer responsable y riesgo vital, entre otros, refleja desarrollos contemporáneos en bienestar animal, medicina veterinaria, etología clínica y salud pública, así como necesidades operativas identificadas durante el proceso de construcción técnica de la Ruta.</w:t>
            </w:r>
          </w:p>
          <w:p w14:paraId="74745927" w14:textId="77777777" w:rsidR="00685978" w:rsidRDefault="00000000">
            <w:pPr>
              <w:spacing w:before="280" w:after="280"/>
              <w:jc w:val="both"/>
              <w:rPr>
                <w:rFonts w:ascii="Arial Narrow" w:eastAsia="Arial Narrow" w:hAnsi="Arial Narrow" w:cs="Arial Narrow"/>
                <w:sz w:val="24"/>
                <w:szCs w:val="24"/>
              </w:rPr>
            </w:pPr>
            <w:r>
              <w:rPr>
                <w:rFonts w:ascii="Arial Narrow" w:eastAsia="Arial Narrow" w:hAnsi="Arial Narrow" w:cs="Arial Narrow"/>
                <w:sz w:val="24"/>
                <w:szCs w:val="24"/>
              </w:rPr>
              <w:t>Las definiciones fueron objeto de revisión y validación interinstitucional por parte de equipos técnicos y profesionales de las entidades participantes, mediante espacios de discusión orientados a consolidar un lenguaje común que facilite la interoperabilidad institucional, la trazabilidad de los casos y la coherencia de las actuaciones desarrolladas en el marco de la Ruta.</w:t>
            </w:r>
          </w:p>
          <w:p w14:paraId="2E8D10C0" w14:textId="77777777" w:rsidR="00685978" w:rsidRDefault="00000000">
            <w:pPr>
              <w:spacing w:before="280" w:after="280"/>
              <w:jc w:val="both"/>
              <w:rPr>
                <w:rFonts w:ascii="Arial Narrow" w:eastAsia="Arial Narrow" w:hAnsi="Arial Narrow" w:cs="Arial Narrow"/>
                <w:sz w:val="24"/>
                <w:szCs w:val="24"/>
              </w:rPr>
            </w:pPr>
            <w:r>
              <w:rPr>
                <w:rFonts w:ascii="Arial Narrow" w:eastAsia="Arial Narrow" w:hAnsi="Arial Narrow" w:cs="Arial Narrow"/>
                <w:sz w:val="24"/>
                <w:szCs w:val="24"/>
              </w:rPr>
              <w:t>Asimismo, se tomaron como referentes técnicos experiencias territoriales previas, entre ellas el Decreto 456 de 2024 del Departamento de Cundinamarca y la Ordenanza 612 de 2023 del Departamento del Valle del Cauca, que aportaron lecciones aprendidas sobre los desafíos operativos, presupuestales e institucionales de la implementación territorial.</w:t>
            </w:r>
          </w:p>
          <w:p w14:paraId="74C858A8" w14:textId="77777777" w:rsidR="00685978" w:rsidRDefault="00000000">
            <w:pPr>
              <w:pStyle w:val="Ttulo3"/>
              <w:keepNext w:val="0"/>
              <w:spacing w:before="280" w:after="80"/>
              <w:jc w:val="both"/>
              <w:rPr>
                <w:rFonts w:ascii="Arial Narrow" w:eastAsia="Arial Narrow" w:hAnsi="Arial Narrow" w:cs="Arial Narrow"/>
                <w:sz w:val="26"/>
                <w:szCs w:val="26"/>
              </w:rPr>
            </w:pPr>
            <w:bookmarkStart w:id="0" w:name="_heading=h.ei6x17zccspb" w:colFirst="0" w:colLast="0"/>
            <w:bookmarkEnd w:id="0"/>
            <w:r>
              <w:rPr>
                <w:rFonts w:ascii="Arial Narrow" w:eastAsia="Arial Narrow" w:hAnsi="Arial Narrow" w:cs="Arial Narrow"/>
                <w:sz w:val="26"/>
                <w:szCs w:val="26"/>
              </w:rPr>
              <w:t>Sustento técnico y metodológico del enfoque pedagógico del Curso de Sensibilización contra el Maltrato Animal</w:t>
            </w:r>
          </w:p>
          <w:p w14:paraId="44FE2D1A" w14:textId="77777777" w:rsidR="00685978" w:rsidRDefault="00000000">
            <w:pPr>
              <w:spacing w:before="280" w:after="280"/>
              <w:jc w:val="both"/>
              <w:rPr>
                <w:rFonts w:ascii="Arial Narrow" w:eastAsia="Arial Narrow" w:hAnsi="Arial Narrow" w:cs="Arial Narrow"/>
                <w:sz w:val="24"/>
                <w:szCs w:val="24"/>
              </w:rPr>
            </w:pPr>
            <w:r>
              <w:rPr>
                <w:rFonts w:ascii="Arial Narrow" w:eastAsia="Arial Narrow" w:hAnsi="Arial Narrow" w:cs="Arial Narrow"/>
                <w:sz w:val="24"/>
                <w:szCs w:val="24"/>
              </w:rPr>
              <w:t>La estructuración metodológica del Curso de Sensibilización contra el Maltrato Animal responde a la naturaleza preventiva, pedagógica y conductual del instrumento previsto en el artículo 14 de la Ley 84 de 1989, modificado por la Ley 2455 de 2025. En este sentido, el curso no fue concebido como un mecanismo exclusivamente informativo o sancionatorio, sino como una estrategia orientada a promover procesos mínimos de comprensión, reconocimiento de riesgos y prevención de reincidencia frente a conductas de maltrato animal.</w:t>
            </w:r>
          </w:p>
          <w:p w14:paraId="661512E3" w14:textId="77777777" w:rsidR="00685978" w:rsidRDefault="00000000">
            <w:pPr>
              <w:spacing w:before="280" w:after="280"/>
              <w:jc w:val="both"/>
              <w:rPr>
                <w:rFonts w:ascii="Arial Narrow" w:eastAsia="Arial Narrow" w:hAnsi="Arial Narrow" w:cs="Arial Narrow"/>
                <w:sz w:val="24"/>
                <w:szCs w:val="24"/>
              </w:rPr>
            </w:pPr>
            <w:r>
              <w:rPr>
                <w:rFonts w:ascii="Arial Narrow" w:eastAsia="Arial Narrow" w:hAnsi="Arial Narrow" w:cs="Arial Narrow"/>
                <w:sz w:val="24"/>
                <w:szCs w:val="24"/>
              </w:rPr>
              <w:t xml:space="preserve">La evidencia disponible en educación transformativa, aprendizaje conductual y programas de prevención de violencias indica que la sola transmisión de contenidos normativos o conceptuales resulta insuficiente para generar cambios sostenibles de comportamiento, particularmente cuando las conductas analizadas involucran respuestas impulsivas, negligencia, manejo inadecuado, desconocimiento de necesidades comportamentales o normalización social de prácticas lesivas (Bandura, 1977; </w:t>
            </w:r>
            <w:proofErr w:type="spellStart"/>
            <w:r>
              <w:rPr>
                <w:rFonts w:ascii="Arial Narrow" w:eastAsia="Arial Narrow" w:hAnsi="Arial Narrow" w:cs="Arial Narrow"/>
                <w:sz w:val="24"/>
                <w:szCs w:val="24"/>
              </w:rPr>
              <w:t>Mezirow</w:t>
            </w:r>
            <w:proofErr w:type="spellEnd"/>
            <w:r>
              <w:rPr>
                <w:rFonts w:ascii="Arial Narrow" w:eastAsia="Arial Narrow" w:hAnsi="Arial Narrow" w:cs="Arial Narrow"/>
                <w:sz w:val="24"/>
                <w:szCs w:val="24"/>
              </w:rPr>
              <w:t>, 1994).</w:t>
            </w:r>
          </w:p>
          <w:p w14:paraId="51828381" w14:textId="77777777" w:rsidR="00685978" w:rsidRDefault="00000000">
            <w:pPr>
              <w:spacing w:before="280" w:after="280"/>
              <w:jc w:val="both"/>
              <w:rPr>
                <w:rFonts w:ascii="Arial Narrow" w:eastAsia="Arial Narrow" w:hAnsi="Arial Narrow" w:cs="Arial Narrow"/>
                <w:sz w:val="24"/>
                <w:szCs w:val="24"/>
              </w:rPr>
            </w:pPr>
            <w:r>
              <w:rPr>
                <w:rFonts w:ascii="Arial Narrow" w:eastAsia="Arial Narrow" w:hAnsi="Arial Narrow" w:cs="Arial Narrow"/>
                <w:sz w:val="24"/>
                <w:szCs w:val="24"/>
              </w:rPr>
              <w:t>Por esta razón, el diseño metodológico incorpora componentes de interacción pedagógica directa, participación activa, reflexión guiada y construcción progresiva de medidas de prevención, orientados a facilitar procesos básicos de apropiación práctica del aprendizaje y aplicación funcional de los contenidos en el entorno cotidiano del participante.</w:t>
            </w:r>
          </w:p>
          <w:p w14:paraId="16FBBB11" w14:textId="77777777" w:rsidR="00685978" w:rsidRDefault="00000000">
            <w:pPr>
              <w:spacing w:before="280" w:after="280"/>
              <w:jc w:val="both"/>
              <w:rPr>
                <w:rFonts w:ascii="Arial Narrow" w:eastAsia="Arial Narrow" w:hAnsi="Arial Narrow" w:cs="Arial Narrow"/>
                <w:sz w:val="24"/>
                <w:szCs w:val="24"/>
              </w:rPr>
            </w:pPr>
            <w:r>
              <w:rPr>
                <w:rFonts w:ascii="Arial Narrow" w:eastAsia="Arial Narrow" w:hAnsi="Arial Narrow" w:cs="Arial Narrow"/>
                <w:sz w:val="24"/>
                <w:szCs w:val="24"/>
              </w:rPr>
              <w:t>La interacción pedagógica directa permite adaptar el contenido a las características socioculturales y educativas de los asistentes, resolver barreras de comprensión y facilitar la identificación práctica de situaciones de riesgo, negligencia o manejo inadecuado. A su vez, la participación activa favorece mayores niveles de apropiación del aprendizaje en comparación con metodologías exclusivamente expositivas o memorísticas, especialmente en procesos orientados a prevención conductual y responsabilización práctica (Kolb, 1984).</w:t>
            </w:r>
          </w:p>
          <w:p w14:paraId="52442E6D" w14:textId="77777777" w:rsidR="00685978" w:rsidRDefault="00000000">
            <w:pPr>
              <w:spacing w:before="280" w:after="280"/>
              <w:jc w:val="both"/>
              <w:rPr>
                <w:rFonts w:ascii="Arial Narrow" w:eastAsia="Arial Narrow" w:hAnsi="Arial Narrow" w:cs="Arial Narrow"/>
                <w:sz w:val="24"/>
                <w:szCs w:val="24"/>
              </w:rPr>
            </w:pPr>
            <w:r>
              <w:rPr>
                <w:rFonts w:ascii="Arial Narrow" w:eastAsia="Arial Narrow" w:hAnsi="Arial Narrow" w:cs="Arial Narrow"/>
                <w:sz w:val="24"/>
                <w:szCs w:val="24"/>
              </w:rPr>
              <w:t xml:space="preserve">La incorporación de ejercicios de reflexión guiada responde igualmente a criterios técnicos y pedagógicos ampliamente utilizados en programas de prevención de violencias y educación socioemocional. Este componente busca facilitar que el </w:t>
            </w:r>
            <w:r>
              <w:rPr>
                <w:rFonts w:ascii="Arial Narrow" w:eastAsia="Arial Narrow" w:hAnsi="Arial Narrow" w:cs="Arial Narrow"/>
                <w:sz w:val="24"/>
                <w:szCs w:val="24"/>
              </w:rPr>
              <w:lastRenderedPageBreak/>
              <w:t>participante identifique circunstancias, emociones, decisiones o situaciones cotidianas que pudieron contribuir a la conducta sancionada, promoviendo simultáneamente el reconocimiento de alternativas básicas de actuación no violenta.</w:t>
            </w:r>
          </w:p>
          <w:p w14:paraId="1CB5EEBB" w14:textId="77777777" w:rsidR="00685978" w:rsidRDefault="00000000">
            <w:pPr>
              <w:spacing w:before="280" w:after="280"/>
              <w:jc w:val="both"/>
              <w:rPr>
                <w:rFonts w:ascii="Arial Narrow" w:eastAsia="Arial Narrow" w:hAnsi="Arial Narrow" w:cs="Arial Narrow"/>
                <w:sz w:val="24"/>
                <w:szCs w:val="24"/>
              </w:rPr>
            </w:pPr>
            <w:r>
              <w:rPr>
                <w:rFonts w:ascii="Arial Narrow" w:eastAsia="Arial Narrow" w:hAnsi="Arial Narrow" w:cs="Arial Narrow"/>
                <w:sz w:val="24"/>
                <w:szCs w:val="24"/>
              </w:rPr>
              <w:t>Desde la psicología del aprendizaje y la educación socioemocional, se ha documentado que los procesos de cambio conductual presentan mejores resultados cuando el individuo logra relacionar el contenido pedagógico con experiencias emocionales propias y situaciones concretas de su entorno (CASEL, 2020). En este contexto, las estrategias basadas en analogías experienciales y reconocimiento emocional; por ejemplo, ejercicios orientados a identificar cómo determinadas situaciones generan miedo, dolor, estrés, frustración o angustia tanto en las personas como en los animales, favorecen procesos básicos de empatía funcional, autorreconocimiento y regulación conductual.</w:t>
            </w:r>
          </w:p>
          <w:p w14:paraId="0A943B54" w14:textId="77777777" w:rsidR="00685978" w:rsidRDefault="00000000">
            <w:pPr>
              <w:spacing w:before="280" w:after="280"/>
              <w:jc w:val="both"/>
              <w:rPr>
                <w:rFonts w:ascii="Arial Narrow" w:eastAsia="Arial Narrow" w:hAnsi="Arial Narrow" w:cs="Arial Narrow"/>
                <w:sz w:val="24"/>
                <w:szCs w:val="24"/>
              </w:rPr>
            </w:pPr>
            <w:r>
              <w:rPr>
                <w:rFonts w:ascii="Arial Narrow" w:eastAsia="Arial Narrow" w:hAnsi="Arial Narrow" w:cs="Arial Narrow"/>
                <w:sz w:val="24"/>
                <w:szCs w:val="24"/>
              </w:rPr>
              <w:t>En el ámbito específico del bienestar animal, este tipo de aproximaciones pedagógicas han sido utilizadas para facilitar la comprensión práctica de conceptos relacionados con sintiencia, sufrimiento y necesidades comportamentales, particularmente en población general no especializada. La finalidad de estas estrategias no consiste en antropomorfizar emocionalmente a los animales ni equiparar de manera absoluta la experiencia humana y animal, sino en facilitar la comprensión de que múltiples especies poseen capacidad de experimentar estados afectivos negativos y responder conductualmente frente a experiencias aversivas, conforme a la evidencia científica disponible sobre sintiencia animal (</w:t>
            </w:r>
            <w:proofErr w:type="spellStart"/>
            <w:r>
              <w:rPr>
                <w:rFonts w:ascii="Arial Narrow" w:eastAsia="Arial Narrow" w:hAnsi="Arial Narrow" w:cs="Arial Narrow"/>
                <w:sz w:val="24"/>
                <w:szCs w:val="24"/>
              </w:rPr>
              <w:t>Broom</w:t>
            </w:r>
            <w:proofErr w:type="spellEnd"/>
            <w:r>
              <w:rPr>
                <w:rFonts w:ascii="Arial Narrow" w:eastAsia="Arial Narrow" w:hAnsi="Arial Narrow" w:cs="Arial Narrow"/>
                <w:sz w:val="24"/>
                <w:szCs w:val="24"/>
              </w:rPr>
              <w:t xml:space="preserve">, 2014; </w:t>
            </w:r>
            <w:proofErr w:type="spellStart"/>
            <w:r>
              <w:rPr>
                <w:rFonts w:ascii="Arial Narrow" w:eastAsia="Arial Narrow" w:hAnsi="Arial Narrow" w:cs="Arial Narrow"/>
                <w:sz w:val="24"/>
                <w:szCs w:val="24"/>
              </w:rPr>
              <w:t>Mellor</w:t>
            </w:r>
            <w:proofErr w:type="spellEnd"/>
            <w:r>
              <w:rPr>
                <w:rFonts w:ascii="Arial Narrow" w:eastAsia="Arial Narrow" w:hAnsi="Arial Narrow" w:cs="Arial Narrow"/>
                <w:sz w:val="24"/>
                <w:szCs w:val="24"/>
              </w:rPr>
              <w:t xml:space="preserve"> et al., 2020).</w:t>
            </w:r>
          </w:p>
          <w:p w14:paraId="73B4AC40" w14:textId="77777777" w:rsidR="00685978" w:rsidRDefault="00000000">
            <w:pPr>
              <w:spacing w:before="280" w:after="280"/>
              <w:jc w:val="both"/>
              <w:rPr>
                <w:rFonts w:ascii="Arial Narrow" w:eastAsia="Arial Narrow" w:hAnsi="Arial Narrow" w:cs="Arial Narrow"/>
                <w:sz w:val="24"/>
                <w:szCs w:val="24"/>
              </w:rPr>
            </w:pPr>
            <w:r>
              <w:rPr>
                <w:rFonts w:ascii="Arial Narrow" w:eastAsia="Arial Narrow" w:hAnsi="Arial Narrow" w:cs="Arial Narrow"/>
                <w:sz w:val="24"/>
                <w:szCs w:val="24"/>
              </w:rPr>
              <w:t>La construcción progresiva de medidas de prevención constituye igualmente un componente central del modelo pedagógico propuesto. Su finalidad es que el participante finalice el curso con compromisos claros, simples y aplicables orientados a evitar nuevas conductas de maltrato animal, ajustados a su realidad territorial, económica y sociocultural. Bajo este enfoque, el curso busca evitar modelos excesivamente abstractos, punitivos o técnicamente complejos que limitan la comprensión o aplicabilidad práctica de los contenidos, especialmente en contextos rurales o en poblaciones con distintos niveles educativos.</w:t>
            </w:r>
          </w:p>
          <w:p w14:paraId="75410FEE" w14:textId="77777777" w:rsidR="00685978" w:rsidRDefault="00000000">
            <w:pPr>
              <w:spacing w:before="280" w:after="280"/>
              <w:jc w:val="both"/>
              <w:rPr>
                <w:rFonts w:ascii="Arial Narrow" w:eastAsia="Arial Narrow" w:hAnsi="Arial Narrow" w:cs="Arial Narrow"/>
                <w:sz w:val="24"/>
                <w:szCs w:val="24"/>
              </w:rPr>
            </w:pPr>
            <w:r>
              <w:rPr>
                <w:rFonts w:ascii="Arial Narrow" w:eastAsia="Arial Narrow" w:hAnsi="Arial Narrow" w:cs="Arial Narrow"/>
                <w:sz w:val="24"/>
                <w:szCs w:val="24"/>
              </w:rPr>
              <w:t>Asimismo, la metodología propuesta resulta coherente con los enfoques de Una Salud (</w:t>
            </w:r>
            <w:proofErr w:type="spellStart"/>
            <w:r>
              <w:rPr>
                <w:rFonts w:ascii="Arial Narrow" w:eastAsia="Arial Narrow" w:hAnsi="Arial Narrow" w:cs="Arial Narrow"/>
                <w:sz w:val="24"/>
                <w:szCs w:val="24"/>
              </w:rPr>
              <w:t>One</w:t>
            </w:r>
            <w:proofErr w:type="spellEnd"/>
            <w:r>
              <w:rPr>
                <w:rFonts w:ascii="Arial Narrow" w:eastAsia="Arial Narrow" w:hAnsi="Arial Narrow" w:cs="Arial Narrow"/>
                <w:sz w:val="24"/>
                <w:szCs w:val="24"/>
              </w:rPr>
              <w:t xml:space="preserve"> </w:t>
            </w:r>
            <w:proofErr w:type="spellStart"/>
            <w:r>
              <w:rPr>
                <w:rFonts w:ascii="Arial Narrow" w:eastAsia="Arial Narrow" w:hAnsi="Arial Narrow" w:cs="Arial Narrow"/>
                <w:sz w:val="24"/>
                <w:szCs w:val="24"/>
              </w:rPr>
              <w:t>Health</w:t>
            </w:r>
            <w:proofErr w:type="spellEnd"/>
            <w:r>
              <w:rPr>
                <w:rFonts w:ascii="Arial Narrow" w:eastAsia="Arial Narrow" w:hAnsi="Arial Narrow" w:cs="Arial Narrow"/>
                <w:sz w:val="24"/>
                <w:szCs w:val="24"/>
              </w:rPr>
              <w:t>), Un Bienestar (</w:t>
            </w:r>
            <w:proofErr w:type="spellStart"/>
            <w:r>
              <w:rPr>
                <w:rFonts w:ascii="Arial Narrow" w:eastAsia="Arial Narrow" w:hAnsi="Arial Narrow" w:cs="Arial Narrow"/>
                <w:sz w:val="24"/>
                <w:szCs w:val="24"/>
              </w:rPr>
              <w:t>One</w:t>
            </w:r>
            <w:proofErr w:type="spellEnd"/>
            <w:r>
              <w:rPr>
                <w:rFonts w:ascii="Arial Narrow" w:eastAsia="Arial Narrow" w:hAnsi="Arial Narrow" w:cs="Arial Narrow"/>
                <w:sz w:val="24"/>
                <w:szCs w:val="24"/>
              </w:rPr>
              <w:t xml:space="preserve"> </w:t>
            </w:r>
            <w:proofErr w:type="spellStart"/>
            <w:r>
              <w:rPr>
                <w:rFonts w:ascii="Arial Narrow" w:eastAsia="Arial Narrow" w:hAnsi="Arial Narrow" w:cs="Arial Narrow"/>
                <w:sz w:val="24"/>
                <w:szCs w:val="24"/>
              </w:rPr>
              <w:t>Welfare</w:t>
            </w:r>
            <w:proofErr w:type="spellEnd"/>
            <w:r>
              <w:rPr>
                <w:rFonts w:ascii="Arial Narrow" w:eastAsia="Arial Narrow" w:hAnsi="Arial Narrow" w:cs="Arial Narrow"/>
                <w:sz w:val="24"/>
                <w:szCs w:val="24"/>
              </w:rPr>
              <w:t>), bienestar animal basado en evidencia y violencias interrelacionadas que orientan el presente proyecto normativo, en la medida en que reconoce que la prevención efectiva del maltrato animal requiere intervenciones pedagógicas capaces de abordar simultáneamente dimensiones cognitivas, emocionales, conductuales y contextuales asociadas a la interacción humano-animal.</w:t>
            </w:r>
          </w:p>
          <w:p w14:paraId="5C0D00E4" w14:textId="77777777" w:rsidR="00685978" w:rsidRDefault="00000000">
            <w:pPr>
              <w:spacing w:before="280" w:after="280"/>
              <w:jc w:val="both"/>
              <w:rPr>
                <w:rFonts w:ascii="Arial Narrow" w:eastAsia="Arial Narrow" w:hAnsi="Arial Narrow" w:cs="Arial Narrow"/>
                <w:sz w:val="24"/>
                <w:szCs w:val="24"/>
              </w:rPr>
            </w:pPr>
            <w:r>
              <w:rPr>
                <w:rFonts w:ascii="Arial Narrow" w:eastAsia="Arial Narrow" w:hAnsi="Arial Narrow" w:cs="Arial Narrow"/>
                <w:sz w:val="24"/>
                <w:szCs w:val="24"/>
              </w:rPr>
              <w:t>En consecuencia, los componentes metodológicos definidos para el curso se encuentran técnicamente sustentados en evidencia científica, modelos contemporáneos de aprendizaje y enfoques preventivos de intervención conductual, orientados a fortalecer la efectividad pedagógica del instrumento y favorecer procesos básicos de sensibilización, responsabilización práctica y no reincidencia en conductas lesivas hacia los animales.</w:t>
            </w:r>
          </w:p>
          <w:p w14:paraId="79E8062A" w14:textId="77777777" w:rsidR="00685978" w:rsidRDefault="00000000">
            <w:pPr>
              <w:spacing w:before="280" w:after="280"/>
              <w:jc w:val="both"/>
              <w:rPr>
                <w:rFonts w:ascii="Arial Narrow" w:eastAsia="Arial Narrow" w:hAnsi="Arial Narrow" w:cs="Arial Narrow"/>
                <w:sz w:val="24"/>
                <w:szCs w:val="24"/>
              </w:rPr>
            </w:pPr>
            <w:r>
              <w:rPr>
                <w:rFonts w:ascii="Arial Narrow" w:eastAsia="Arial Narrow" w:hAnsi="Arial Narrow" w:cs="Arial Narrow"/>
                <w:sz w:val="24"/>
                <w:szCs w:val="24"/>
              </w:rPr>
              <w:t>Participantes:</w:t>
            </w:r>
          </w:p>
          <w:p w14:paraId="55416335" w14:textId="77777777" w:rsidR="00685978" w:rsidRDefault="00000000">
            <w:pPr>
              <w:spacing w:before="280" w:after="280"/>
              <w:jc w:val="both"/>
              <w:rPr>
                <w:rFonts w:ascii="Arial Narrow" w:eastAsia="Arial Narrow" w:hAnsi="Arial Narrow" w:cs="Arial Narrow"/>
                <w:sz w:val="24"/>
                <w:szCs w:val="24"/>
              </w:rPr>
            </w:pPr>
            <w:r>
              <w:rPr>
                <w:rFonts w:ascii="Arial Narrow" w:eastAsia="Arial Narrow" w:hAnsi="Arial Narrow" w:cs="Arial Narrow"/>
                <w:sz w:val="24"/>
                <w:szCs w:val="24"/>
              </w:rPr>
              <w:t xml:space="preserve">Ministerio de Ambiente y Desarrollo Sostenible, Autores: Paula Andrea Bustos Rojas MV, Esp. Bienestar Animal y Etología, Esp. Laboratorio Clínico Veterinario, </w:t>
            </w:r>
            <w:proofErr w:type="spellStart"/>
            <w:r>
              <w:rPr>
                <w:rFonts w:ascii="Arial Narrow" w:eastAsia="Arial Narrow" w:hAnsi="Arial Narrow" w:cs="Arial Narrow"/>
                <w:sz w:val="24"/>
                <w:szCs w:val="24"/>
              </w:rPr>
              <w:t>MSc</w:t>
            </w:r>
            <w:proofErr w:type="spellEnd"/>
            <w:r>
              <w:rPr>
                <w:rFonts w:ascii="Arial Narrow" w:eastAsia="Arial Narrow" w:hAnsi="Arial Narrow" w:cs="Arial Narrow"/>
                <w:sz w:val="24"/>
                <w:szCs w:val="24"/>
              </w:rPr>
              <w:t xml:space="preserve">. Liderazgo Estratégico para la Sostenibilidad, </w:t>
            </w:r>
            <w:proofErr w:type="spellStart"/>
            <w:r>
              <w:rPr>
                <w:rFonts w:ascii="Arial Narrow" w:eastAsia="Arial Narrow" w:hAnsi="Arial Narrow" w:cs="Arial Narrow"/>
                <w:sz w:val="24"/>
                <w:szCs w:val="24"/>
              </w:rPr>
              <w:t>MSc</w:t>
            </w:r>
            <w:proofErr w:type="spellEnd"/>
            <w:r>
              <w:rPr>
                <w:rFonts w:ascii="Arial Narrow" w:eastAsia="Arial Narrow" w:hAnsi="Arial Narrow" w:cs="Arial Narrow"/>
                <w:sz w:val="24"/>
                <w:szCs w:val="24"/>
              </w:rPr>
              <w:t xml:space="preserve">. Liderazgo Internacional; Paola Andrea Ramírez </w:t>
            </w:r>
            <w:proofErr w:type="spellStart"/>
            <w:r>
              <w:rPr>
                <w:rFonts w:ascii="Arial Narrow" w:eastAsia="Arial Narrow" w:hAnsi="Arial Narrow" w:cs="Arial Narrow"/>
                <w:sz w:val="24"/>
                <w:szCs w:val="24"/>
              </w:rPr>
              <w:t>Sanchez</w:t>
            </w:r>
            <w:proofErr w:type="spellEnd"/>
            <w:r>
              <w:rPr>
                <w:rFonts w:ascii="Arial Narrow" w:eastAsia="Arial Narrow" w:hAnsi="Arial Narrow" w:cs="Arial Narrow"/>
                <w:sz w:val="24"/>
                <w:szCs w:val="24"/>
              </w:rPr>
              <w:t xml:space="preserve">, </w:t>
            </w:r>
            <w:proofErr w:type="spellStart"/>
            <w:r>
              <w:rPr>
                <w:rFonts w:ascii="Arial Narrow" w:eastAsia="Arial Narrow" w:hAnsi="Arial Narrow" w:cs="Arial Narrow"/>
                <w:sz w:val="24"/>
                <w:szCs w:val="24"/>
              </w:rPr>
              <w:t>Abg</w:t>
            </w:r>
            <w:proofErr w:type="spellEnd"/>
            <w:r>
              <w:rPr>
                <w:rFonts w:ascii="Arial Narrow" w:eastAsia="Arial Narrow" w:hAnsi="Arial Narrow" w:cs="Arial Narrow"/>
                <w:sz w:val="24"/>
                <w:szCs w:val="24"/>
              </w:rPr>
              <w:t xml:space="preserve">, </w:t>
            </w:r>
            <w:proofErr w:type="spellStart"/>
            <w:r>
              <w:rPr>
                <w:rFonts w:ascii="Arial Narrow" w:eastAsia="Arial Narrow" w:hAnsi="Arial Narrow" w:cs="Arial Narrow"/>
                <w:sz w:val="24"/>
                <w:szCs w:val="24"/>
              </w:rPr>
              <w:t>MSc</w:t>
            </w:r>
            <w:proofErr w:type="spellEnd"/>
            <w:r>
              <w:rPr>
                <w:rFonts w:ascii="Arial Narrow" w:eastAsia="Arial Narrow" w:hAnsi="Arial Narrow" w:cs="Arial Narrow"/>
                <w:sz w:val="24"/>
                <w:szCs w:val="24"/>
              </w:rPr>
              <w:t xml:space="preserve"> Derecho ambiental y Desarrollo Sostenible</w:t>
            </w:r>
            <w:r>
              <w:rPr>
                <w:rFonts w:ascii="Arial Narrow" w:eastAsia="Arial Narrow" w:hAnsi="Arial Narrow" w:cs="Arial Narrow"/>
                <w:sz w:val="24"/>
                <w:szCs w:val="24"/>
              </w:rPr>
              <w:br/>
            </w:r>
            <w:r>
              <w:rPr>
                <w:rFonts w:ascii="Arial Narrow" w:eastAsia="Arial Narrow" w:hAnsi="Arial Narrow" w:cs="Arial Narrow"/>
                <w:sz w:val="24"/>
                <w:szCs w:val="24"/>
              </w:rPr>
              <w:lastRenderedPageBreak/>
              <w:t xml:space="preserve">Colaboradores: Leidy Paola </w:t>
            </w:r>
            <w:proofErr w:type="spellStart"/>
            <w:r>
              <w:rPr>
                <w:rFonts w:ascii="Arial Narrow" w:eastAsia="Arial Narrow" w:hAnsi="Arial Narrow" w:cs="Arial Narrow"/>
                <w:sz w:val="24"/>
                <w:szCs w:val="24"/>
              </w:rPr>
              <w:t>Sanchez</w:t>
            </w:r>
            <w:proofErr w:type="spellEnd"/>
            <w:r>
              <w:rPr>
                <w:rFonts w:ascii="Arial Narrow" w:eastAsia="Arial Narrow" w:hAnsi="Arial Narrow" w:cs="Arial Narrow"/>
                <w:sz w:val="24"/>
                <w:szCs w:val="24"/>
              </w:rPr>
              <w:t xml:space="preserve"> Cuadros MV, </w:t>
            </w:r>
            <w:proofErr w:type="spellStart"/>
            <w:r>
              <w:rPr>
                <w:rFonts w:ascii="Arial Narrow" w:eastAsia="Arial Narrow" w:hAnsi="Arial Narrow" w:cs="Arial Narrow"/>
                <w:sz w:val="24"/>
                <w:szCs w:val="24"/>
              </w:rPr>
              <w:t>MSc</w:t>
            </w:r>
            <w:proofErr w:type="spellEnd"/>
            <w:r>
              <w:rPr>
                <w:rFonts w:ascii="Arial Narrow" w:eastAsia="Arial Narrow" w:hAnsi="Arial Narrow" w:cs="Arial Narrow"/>
                <w:sz w:val="24"/>
                <w:szCs w:val="24"/>
              </w:rPr>
              <w:t xml:space="preserve"> Bienestar Animal; Viviana Buriticá </w:t>
            </w:r>
            <w:proofErr w:type="spellStart"/>
            <w:r>
              <w:rPr>
                <w:rFonts w:ascii="Arial Narrow" w:eastAsia="Arial Narrow" w:hAnsi="Arial Narrow" w:cs="Arial Narrow"/>
                <w:sz w:val="24"/>
                <w:szCs w:val="24"/>
              </w:rPr>
              <w:t>Psicól</w:t>
            </w:r>
            <w:proofErr w:type="spellEnd"/>
            <w:r>
              <w:rPr>
                <w:rFonts w:ascii="Arial Narrow" w:eastAsia="Arial Narrow" w:hAnsi="Arial Narrow" w:cs="Arial Narrow"/>
                <w:sz w:val="24"/>
                <w:szCs w:val="24"/>
              </w:rPr>
              <w:t xml:space="preserve">, </w:t>
            </w:r>
            <w:proofErr w:type="spellStart"/>
            <w:r>
              <w:rPr>
                <w:rFonts w:ascii="Arial Narrow" w:eastAsia="Arial Narrow" w:hAnsi="Arial Narrow" w:cs="Arial Narrow"/>
                <w:sz w:val="24"/>
                <w:szCs w:val="24"/>
              </w:rPr>
              <w:t>MSc</w:t>
            </w:r>
            <w:proofErr w:type="spellEnd"/>
            <w:r>
              <w:rPr>
                <w:rFonts w:ascii="Arial Narrow" w:eastAsia="Arial Narrow" w:hAnsi="Arial Narrow" w:cs="Arial Narrow"/>
                <w:sz w:val="24"/>
                <w:szCs w:val="24"/>
              </w:rPr>
              <w:t>. Desarrollo educativo y social</w:t>
            </w:r>
          </w:p>
          <w:p w14:paraId="4887BC19" w14:textId="77777777" w:rsidR="00685978" w:rsidRDefault="00000000">
            <w:pPr>
              <w:spacing w:before="280" w:after="280"/>
              <w:jc w:val="both"/>
              <w:rPr>
                <w:rFonts w:ascii="Arial Narrow" w:eastAsia="Arial Narrow" w:hAnsi="Arial Narrow" w:cs="Arial Narrow"/>
                <w:sz w:val="24"/>
                <w:szCs w:val="24"/>
              </w:rPr>
            </w:pPr>
            <w:r>
              <w:rPr>
                <w:rFonts w:ascii="Arial Narrow" w:eastAsia="Arial Narrow" w:hAnsi="Arial Narrow" w:cs="Arial Narrow"/>
                <w:sz w:val="24"/>
                <w:szCs w:val="24"/>
              </w:rPr>
              <w:t>Ministerio de Salud y Protección Social Colaboradores: Mayra Alejandra González Riaño, MV, Esp. Salud Pública Veterinaria; José Julián Sánchez Camacho, MVZ, Esp. Nutrición de animales de compañía, Jairo Hernández Márquez MV, Esp. Salud ambiental.</w:t>
            </w:r>
          </w:p>
          <w:p w14:paraId="1A47EEBD" w14:textId="77777777" w:rsidR="00685978" w:rsidRDefault="00000000">
            <w:pPr>
              <w:spacing w:before="280" w:after="280"/>
              <w:jc w:val="both"/>
              <w:rPr>
                <w:rFonts w:ascii="Arial Narrow" w:eastAsia="Arial Narrow" w:hAnsi="Arial Narrow" w:cs="Arial Narrow"/>
                <w:sz w:val="24"/>
                <w:szCs w:val="24"/>
              </w:rPr>
            </w:pPr>
            <w:r>
              <w:rPr>
                <w:rFonts w:ascii="Arial Narrow" w:eastAsia="Arial Narrow" w:hAnsi="Arial Narrow" w:cs="Arial Narrow"/>
                <w:sz w:val="24"/>
                <w:szCs w:val="24"/>
              </w:rPr>
              <w:t xml:space="preserve">Ministerio de Transporte Colaboradores: Danna Julieth Malaver Echeverria, </w:t>
            </w:r>
            <w:proofErr w:type="spellStart"/>
            <w:r>
              <w:rPr>
                <w:rFonts w:ascii="Arial Narrow" w:eastAsia="Arial Narrow" w:hAnsi="Arial Narrow" w:cs="Arial Narrow"/>
                <w:sz w:val="24"/>
                <w:szCs w:val="24"/>
              </w:rPr>
              <w:t>abg.da</w:t>
            </w:r>
            <w:proofErr w:type="spellEnd"/>
            <w:r>
              <w:rPr>
                <w:rFonts w:ascii="Arial Narrow" w:eastAsia="Arial Narrow" w:hAnsi="Arial Narrow" w:cs="Arial Narrow"/>
                <w:sz w:val="24"/>
                <w:szCs w:val="24"/>
              </w:rPr>
              <w:t>; Daniel Felipe Romero Cruz, Ing. ambiental</w:t>
            </w:r>
          </w:p>
          <w:p w14:paraId="549E9277" w14:textId="77777777" w:rsidR="00685978" w:rsidRDefault="00000000">
            <w:pPr>
              <w:spacing w:before="280" w:after="280"/>
              <w:jc w:val="both"/>
              <w:rPr>
                <w:rFonts w:ascii="Arial Narrow" w:eastAsia="Arial Narrow" w:hAnsi="Arial Narrow" w:cs="Arial Narrow"/>
                <w:sz w:val="24"/>
                <w:szCs w:val="24"/>
              </w:rPr>
            </w:pPr>
            <w:r>
              <w:rPr>
                <w:rFonts w:ascii="Arial Narrow" w:eastAsia="Arial Narrow" w:hAnsi="Arial Narrow" w:cs="Arial Narrow"/>
                <w:sz w:val="24"/>
                <w:szCs w:val="24"/>
              </w:rPr>
              <w:t xml:space="preserve">Departamento Nacional de Planeación Dirección de Ambiente y Desarrollo Sostenible, Colaboradores: María Ximena Zárate Perdomo </w:t>
            </w:r>
            <w:proofErr w:type="spellStart"/>
            <w:r>
              <w:rPr>
                <w:rFonts w:ascii="Arial Narrow" w:eastAsia="Arial Narrow" w:hAnsi="Arial Narrow" w:cs="Arial Narrow"/>
                <w:sz w:val="24"/>
                <w:szCs w:val="24"/>
              </w:rPr>
              <w:t>Abg.da</w:t>
            </w:r>
            <w:proofErr w:type="spellEnd"/>
            <w:r>
              <w:rPr>
                <w:rFonts w:ascii="Arial Narrow" w:eastAsia="Arial Narrow" w:hAnsi="Arial Narrow" w:cs="Arial Narrow"/>
                <w:sz w:val="24"/>
                <w:szCs w:val="24"/>
              </w:rPr>
              <w:t xml:space="preserve">, </w:t>
            </w:r>
            <w:proofErr w:type="spellStart"/>
            <w:r>
              <w:rPr>
                <w:rFonts w:ascii="Arial Narrow" w:eastAsia="Arial Narrow" w:hAnsi="Arial Narrow" w:cs="Arial Narrow"/>
                <w:sz w:val="24"/>
                <w:szCs w:val="24"/>
              </w:rPr>
              <w:t>MSc</w:t>
            </w:r>
            <w:proofErr w:type="spellEnd"/>
            <w:r>
              <w:rPr>
                <w:rFonts w:ascii="Arial Narrow" w:eastAsia="Arial Narrow" w:hAnsi="Arial Narrow" w:cs="Arial Narrow"/>
                <w:sz w:val="24"/>
                <w:szCs w:val="24"/>
              </w:rPr>
              <w:t xml:space="preserve"> Derecho ambiental, Kelly Patricia Jiménez Quesada </w:t>
            </w:r>
            <w:proofErr w:type="spellStart"/>
            <w:r>
              <w:rPr>
                <w:rFonts w:ascii="Arial Narrow" w:eastAsia="Arial Narrow" w:hAnsi="Arial Narrow" w:cs="Arial Narrow"/>
                <w:sz w:val="24"/>
                <w:szCs w:val="24"/>
              </w:rPr>
              <w:t>Abg.da</w:t>
            </w:r>
            <w:proofErr w:type="spellEnd"/>
            <w:r>
              <w:rPr>
                <w:rFonts w:ascii="Arial Narrow" w:eastAsia="Arial Narrow" w:hAnsi="Arial Narrow" w:cs="Arial Narrow"/>
                <w:sz w:val="24"/>
                <w:szCs w:val="24"/>
              </w:rPr>
              <w:t xml:space="preserve">, Esp. Derecho ambiental, </w:t>
            </w:r>
            <w:proofErr w:type="spellStart"/>
            <w:r>
              <w:rPr>
                <w:rFonts w:ascii="Arial Narrow" w:eastAsia="Arial Narrow" w:hAnsi="Arial Narrow" w:cs="Arial Narrow"/>
                <w:sz w:val="24"/>
                <w:szCs w:val="24"/>
              </w:rPr>
              <w:t>MSc</w:t>
            </w:r>
            <w:proofErr w:type="spellEnd"/>
            <w:r>
              <w:rPr>
                <w:rFonts w:ascii="Arial Narrow" w:eastAsia="Arial Narrow" w:hAnsi="Arial Narrow" w:cs="Arial Narrow"/>
                <w:sz w:val="24"/>
                <w:szCs w:val="24"/>
              </w:rPr>
              <w:t xml:space="preserve"> Derecho de los recursos naturales, Juan Carlos Garzón Camacho, Biol. Mar., Esp. Gerencia de recursos naturales, </w:t>
            </w:r>
            <w:proofErr w:type="spellStart"/>
            <w:r>
              <w:rPr>
                <w:rFonts w:ascii="Arial Narrow" w:eastAsia="Arial Narrow" w:hAnsi="Arial Narrow" w:cs="Arial Narrow"/>
                <w:sz w:val="24"/>
                <w:szCs w:val="24"/>
              </w:rPr>
              <w:t>MSc</w:t>
            </w:r>
            <w:proofErr w:type="spellEnd"/>
            <w:r>
              <w:rPr>
                <w:rFonts w:ascii="Arial Narrow" w:eastAsia="Arial Narrow" w:hAnsi="Arial Narrow" w:cs="Arial Narrow"/>
                <w:sz w:val="24"/>
                <w:szCs w:val="24"/>
              </w:rPr>
              <w:t>. Ordenamiento Urbano Regional</w:t>
            </w:r>
          </w:p>
          <w:p w14:paraId="6265B5D9" w14:textId="77777777" w:rsidR="00685978" w:rsidRDefault="00000000">
            <w:pPr>
              <w:spacing w:before="280" w:after="280"/>
              <w:jc w:val="both"/>
              <w:rPr>
                <w:rFonts w:ascii="Arial Narrow" w:eastAsia="Arial Narrow" w:hAnsi="Arial Narrow" w:cs="Arial Narrow"/>
                <w:sz w:val="24"/>
                <w:szCs w:val="24"/>
              </w:rPr>
            </w:pPr>
            <w:r>
              <w:rPr>
                <w:rFonts w:ascii="Arial Narrow" w:eastAsia="Arial Narrow" w:hAnsi="Arial Narrow" w:cs="Arial Narrow"/>
                <w:sz w:val="24"/>
                <w:szCs w:val="24"/>
              </w:rPr>
              <w:t>Ministerio de Agricultura y Desarrollo Rural</w:t>
            </w:r>
          </w:p>
          <w:p w14:paraId="72FE1EC5" w14:textId="77777777" w:rsidR="00685978" w:rsidRDefault="00000000">
            <w:pPr>
              <w:spacing w:before="280" w:after="280"/>
              <w:jc w:val="both"/>
              <w:rPr>
                <w:rFonts w:ascii="Arial Narrow" w:eastAsia="Arial Narrow" w:hAnsi="Arial Narrow" w:cs="Arial Narrow"/>
                <w:sz w:val="24"/>
                <w:szCs w:val="24"/>
              </w:rPr>
            </w:pPr>
            <w:r>
              <w:rPr>
                <w:rFonts w:ascii="Arial Narrow" w:eastAsia="Arial Narrow" w:hAnsi="Arial Narrow" w:cs="Arial Narrow"/>
                <w:sz w:val="24"/>
                <w:szCs w:val="24"/>
              </w:rPr>
              <w:t xml:space="preserve">Fiscalía General de la Nación Autores: Juan Miguel Torres Salazar; Fiscal Coordinador – GELMA. </w:t>
            </w:r>
            <w:proofErr w:type="spellStart"/>
            <w:r>
              <w:rPr>
                <w:rFonts w:ascii="Arial Narrow" w:eastAsia="Arial Narrow" w:hAnsi="Arial Narrow" w:cs="Arial Narrow"/>
                <w:sz w:val="24"/>
                <w:szCs w:val="24"/>
              </w:rPr>
              <w:t>Abg</w:t>
            </w:r>
            <w:proofErr w:type="spellEnd"/>
            <w:r>
              <w:rPr>
                <w:rFonts w:ascii="Arial Narrow" w:eastAsia="Arial Narrow" w:hAnsi="Arial Narrow" w:cs="Arial Narrow"/>
                <w:sz w:val="24"/>
                <w:szCs w:val="24"/>
              </w:rPr>
              <w:t>; Magíster en Derechos Humanos, Derecho Internacional Humanitario y Derecho Operacional</w:t>
            </w:r>
          </w:p>
          <w:p w14:paraId="19EF5CB6" w14:textId="77777777" w:rsidR="00685978" w:rsidRDefault="00000000">
            <w:pPr>
              <w:spacing w:before="280" w:after="280"/>
              <w:jc w:val="both"/>
              <w:rPr>
                <w:rFonts w:ascii="Arial Narrow" w:eastAsia="Arial Narrow" w:hAnsi="Arial Narrow" w:cs="Arial Narrow"/>
                <w:sz w:val="24"/>
                <w:szCs w:val="24"/>
              </w:rPr>
            </w:pPr>
            <w:r>
              <w:rPr>
                <w:rFonts w:ascii="Arial Narrow" w:eastAsia="Arial Narrow" w:hAnsi="Arial Narrow" w:cs="Arial Narrow"/>
                <w:sz w:val="24"/>
                <w:szCs w:val="24"/>
              </w:rPr>
              <w:t xml:space="preserve">Policía Nacional – Dirección de Carabineros y Protección Ambiental (DICAR), Autores: Mayor César Augusto Sora Camargo, MVZ Jefe grupo control a la biodiversidad y protección animal DICAR, Andrés Felipe León batanero, Ing. Ambiental, Analista de control a la biodiversidad y protección animal DICAR </w:t>
            </w:r>
          </w:p>
          <w:p w14:paraId="0EC47063" w14:textId="77777777" w:rsidR="00685978" w:rsidRDefault="00000000">
            <w:pPr>
              <w:spacing w:before="280" w:after="280"/>
              <w:jc w:val="both"/>
              <w:rPr>
                <w:rFonts w:ascii="Arial Narrow" w:eastAsia="Arial Narrow" w:hAnsi="Arial Narrow" w:cs="Arial Narrow"/>
                <w:sz w:val="24"/>
                <w:szCs w:val="24"/>
              </w:rPr>
            </w:pPr>
            <w:r>
              <w:rPr>
                <w:rFonts w:ascii="Arial Narrow" w:eastAsia="Arial Narrow" w:hAnsi="Arial Narrow" w:cs="Arial Narrow"/>
                <w:sz w:val="24"/>
                <w:szCs w:val="24"/>
              </w:rPr>
              <w:t>Por parte de las entidades territoriales participaron:</w:t>
            </w:r>
          </w:p>
          <w:p w14:paraId="21183745" w14:textId="77777777" w:rsidR="00685978" w:rsidRDefault="00000000">
            <w:pPr>
              <w:spacing w:before="280" w:after="280"/>
              <w:jc w:val="both"/>
              <w:rPr>
                <w:rFonts w:ascii="Arial Narrow" w:eastAsia="Arial Narrow" w:hAnsi="Arial Narrow" w:cs="Arial Narrow"/>
                <w:sz w:val="24"/>
                <w:szCs w:val="24"/>
              </w:rPr>
            </w:pPr>
            <w:r>
              <w:rPr>
                <w:rFonts w:ascii="Arial Narrow" w:eastAsia="Arial Narrow" w:hAnsi="Arial Narrow" w:cs="Arial Narrow"/>
                <w:sz w:val="24"/>
                <w:szCs w:val="24"/>
              </w:rPr>
              <w:t xml:space="preserve">Instituto Distrital de Protección y Bienestar Animal (IDPYBA) Autores: Sergio Andrés Macana Guerrero, ABG, Esp. Derecho Ambiental, Mg. Derecho, Gobierno y Gestión de la Justicia; Raúl Mauricio Buitrago Gómez, ABG, Esp. Derecho Constitucional y Administrativo, Esp. Derecho Público; Diana Rocío Rodríguez Perdomo, BLG, Esp. Gestión Ambiental, </w:t>
            </w:r>
            <w:proofErr w:type="spellStart"/>
            <w:r>
              <w:rPr>
                <w:rFonts w:ascii="Arial Narrow" w:eastAsia="Arial Narrow" w:hAnsi="Arial Narrow" w:cs="Arial Narrow"/>
                <w:sz w:val="24"/>
                <w:szCs w:val="24"/>
              </w:rPr>
              <w:t>Dipl</w:t>
            </w:r>
            <w:proofErr w:type="spellEnd"/>
            <w:r>
              <w:rPr>
                <w:rFonts w:ascii="Arial Narrow" w:eastAsia="Arial Narrow" w:hAnsi="Arial Narrow" w:cs="Arial Narrow"/>
                <w:sz w:val="24"/>
                <w:szCs w:val="24"/>
              </w:rPr>
              <w:t xml:space="preserve">. Comportamiento y Bienestar Animal; Leidy Viviana Rojas </w:t>
            </w:r>
            <w:proofErr w:type="spellStart"/>
            <w:r>
              <w:rPr>
                <w:rFonts w:ascii="Arial Narrow" w:eastAsia="Arial Narrow" w:hAnsi="Arial Narrow" w:cs="Arial Narrow"/>
                <w:sz w:val="24"/>
                <w:szCs w:val="24"/>
              </w:rPr>
              <w:t>Martinez</w:t>
            </w:r>
            <w:proofErr w:type="spellEnd"/>
            <w:r>
              <w:rPr>
                <w:rFonts w:ascii="Arial Narrow" w:eastAsia="Arial Narrow" w:hAnsi="Arial Narrow" w:cs="Arial Narrow"/>
                <w:sz w:val="24"/>
                <w:szCs w:val="24"/>
              </w:rPr>
              <w:t xml:space="preserve">, MVZ, Esp. en Gerencia Publica y Control Fiscal. Colaboradores: Yuly Patricia Castro Beltrán, ABG, Esp. Derecho Administrativo, Esp. Derecho del Medio Ambiente, Esp. Gobiernos y Políticas Públicas, Mg. Dirección y Gestión Pública; Carlos Andrés Muñoz López, ABG y FIL, Mg. Bioética; </w:t>
            </w:r>
            <w:proofErr w:type="spellStart"/>
            <w:r>
              <w:rPr>
                <w:rFonts w:ascii="Arial Narrow" w:eastAsia="Arial Narrow" w:hAnsi="Arial Narrow" w:cs="Arial Narrow"/>
                <w:sz w:val="24"/>
                <w:szCs w:val="24"/>
              </w:rPr>
              <w:t>Sibelys</w:t>
            </w:r>
            <w:proofErr w:type="spellEnd"/>
            <w:r>
              <w:rPr>
                <w:rFonts w:ascii="Arial Narrow" w:eastAsia="Arial Narrow" w:hAnsi="Arial Narrow" w:cs="Arial Narrow"/>
                <w:sz w:val="24"/>
                <w:szCs w:val="24"/>
              </w:rPr>
              <w:t xml:space="preserve"> K. Mejía Rodríguez, ABG, PhD(c) en Derecho, Mg. Estudios Culturales, Esp. en Derecho Constitucional y Administrativo, Esp. Pedagogía; Santiago Guillermo Naranjo Monje, MV, </w:t>
            </w:r>
            <w:proofErr w:type="spellStart"/>
            <w:r>
              <w:rPr>
                <w:rFonts w:ascii="Arial Narrow" w:eastAsia="Arial Narrow" w:hAnsi="Arial Narrow" w:cs="Arial Narrow"/>
                <w:sz w:val="24"/>
                <w:szCs w:val="24"/>
              </w:rPr>
              <w:t>MSc</w:t>
            </w:r>
            <w:proofErr w:type="spellEnd"/>
            <w:r>
              <w:rPr>
                <w:rFonts w:ascii="Arial Narrow" w:eastAsia="Arial Narrow" w:hAnsi="Arial Narrow" w:cs="Arial Narrow"/>
                <w:sz w:val="24"/>
                <w:szCs w:val="24"/>
              </w:rPr>
              <w:t xml:space="preserve"> Salud Animal; Natalia Tobón Bernal MV; Vanessa Velandia Torres, MVZ, Esp. Laboratorio Clínico Veterinario; Miguel Ángel Poveda Ramírez, MVZ.</w:t>
            </w:r>
          </w:p>
          <w:p w14:paraId="390D1979" w14:textId="77777777" w:rsidR="00685978" w:rsidRDefault="00000000">
            <w:pPr>
              <w:spacing w:before="280" w:after="280"/>
              <w:jc w:val="both"/>
              <w:rPr>
                <w:rFonts w:ascii="Arial Narrow" w:eastAsia="Arial Narrow" w:hAnsi="Arial Narrow" w:cs="Arial Narrow"/>
                <w:sz w:val="24"/>
                <w:szCs w:val="24"/>
              </w:rPr>
            </w:pPr>
            <w:r>
              <w:rPr>
                <w:rFonts w:ascii="Arial Narrow" w:eastAsia="Arial Narrow" w:hAnsi="Arial Narrow" w:cs="Arial Narrow"/>
                <w:sz w:val="24"/>
                <w:szCs w:val="24"/>
              </w:rPr>
              <w:t xml:space="preserve">Instituto para la Protección y el Bienestar Animal de Cundinamarca (IPYBAC) Representantes: Carlos Alberto Cubillos </w:t>
            </w:r>
            <w:proofErr w:type="spellStart"/>
            <w:r>
              <w:rPr>
                <w:rFonts w:ascii="Arial Narrow" w:eastAsia="Arial Narrow" w:hAnsi="Arial Narrow" w:cs="Arial Narrow"/>
                <w:sz w:val="24"/>
                <w:szCs w:val="24"/>
              </w:rPr>
              <w:t>Garcia</w:t>
            </w:r>
            <w:proofErr w:type="spellEnd"/>
            <w:r>
              <w:rPr>
                <w:rFonts w:ascii="Arial Narrow" w:eastAsia="Arial Narrow" w:hAnsi="Arial Narrow" w:cs="Arial Narrow"/>
                <w:sz w:val="24"/>
                <w:szCs w:val="24"/>
              </w:rPr>
              <w:t xml:space="preserve">, </w:t>
            </w:r>
            <w:proofErr w:type="spellStart"/>
            <w:r>
              <w:rPr>
                <w:rFonts w:ascii="Arial Narrow" w:eastAsia="Arial Narrow" w:hAnsi="Arial Narrow" w:cs="Arial Narrow"/>
                <w:sz w:val="24"/>
                <w:szCs w:val="24"/>
              </w:rPr>
              <w:t>Abg</w:t>
            </w:r>
            <w:proofErr w:type="spellEnd"/>
            <w:r>
              <w:rPr>
                <w:rFonts w:ascii="Arial Narrow" w:eastAsia="Arial Narrow" w:hAnsi="Arial Narrow" w:cs="Arial Narrow"/>
                <w:sz w:val="24"/>
                <w:szCs w:val="24"/>
              </w:rPr>
              <w:t xml:space="preserve">, Esp. Gobierno y control; </w:t>
            </w:r>
            <w:proofErr w:type="spellStart"/>
            <w:r>
              <w:rPr>
                <w:rFonts w:ascii="Arial Narrow" w:eastAsia="Arial Narrow" w:hAnsi="Arial Narrow" w:cs="Arial Narrow"/>
                <w:sz w:val="24"/>
                <w:szCs w:val="24"/>
              </w:rPr>
              <w:t>Hair</w:t>
            </w:r>
            <w:proofErr w:type="spellEnd"/>
            <w:r>
              <w:rPr>
                <w:rFonts w:ascii="Arial Narrow" w:eastAsia="Arial Narrow" w:hAnsi="Arial Narrow" w:cs="Arial Narrow"/>
                <w:sz w:val="24"/>
                <w:szCs w:val="24"/>
              </w:rPr>
              <w:t xml:space="preserve"> Andrés Posada Muñoz, MVZ; Ms(c)  en Desarrollo Rural </w:t>
            </w:r>
          </w:p>
          <w:p w14:paraId="469714C4" w14:textId="77777777" w:rsidR="00685978" w:rsidRDefault="00000000">
            <w:pPr>
              <w:spacing w:before="280" w:after="280"/>
              <w:jc w:val="both"/>
              <w:rPr>
                <w:rFonts w:ascii="Arial Narrow" w:eastAsia="Arial Narrow" w:hAnsi="Arial Narrow" w:cs="Arial Narrow"/>
                <w:sz w:val="24"/>
                <w:szCs w:val="24"/>
              </w:rPr>
            </w:pPr>
            <w:r>
              <w:rPr>
                <w:rFonts w:ascii="Arial Narrow" w:eastAsia="Arial Narrow" w:hAnsi="Arial Narrow" w:cs="Arial Narrow"/>
                <w:sz w:val="24"/>
                <w:szCs w:val="24"/>
              </w:rPr>
              <w:lastRenderedPageBreak/>
              <w:t xml:space="preserve">Gobernación del Valle del Cauca - Secretaria de Ambiente y desarrollo sostenible. Subsecretaria protección y bienestar animal Representantes: Lizeth Parra González, </w:t>
            </w:r>
            <w:proofErr w:type="spellStart"/>
            <w:r>
              <w:rPr>
                <w:rFonts w:ascii="Arial Narrow" w:eastAsia="Arial Narrow" w:hAnsi="Arial Narrow" w:cs="Arial Narrow"/>
                <w:sz w:val="24"/>
                <w:szCs w:val="24"/>
              </w:rPr>
              <w:t>Abg</w:t>
            </w:r>
            <w:proofErr w:type="spellEnd"/>
            <w:r>
              <w:rPr>
                <w:rFonts w:ascii="Arial Narrow" w:eastAsia="Arial Narrow" w:hAnsi="Arial Narrow" w:cs="Arial Narrow"/>
                <w:sz w:val="24"/>
                <w:szCs w:val="24"/>
              </w:rPr>
              <w:t xml:space="preserve">, Esp. Desarrollo territorial. </w:t>
            </w:r>
            <w:proofErr w:type="spellStart"/>
            <w:r>
              <w:rPr>
                <w:rFonts w:ascii="Arial Narrow" w:eastAsia="Arial Narrow" w:hAnsi="Arial Narrow" w:cs="Arial Narrow"/>
                <w:sz w:val="24"/>
                <w:szCs w:val="24"/>
              </w:rPr>
              <w:t>MSc</w:t>
            </w:r>
            <w:proofErr w:type="spellEnd"/>
            <w:r>
              <w:rPr>
                <w:rFonts w:ascii="Arial Narrow" w:eastAsia="Arial Narrow" w:hAnsi="Arial Narrow" w:cs="Arial Narrow"/>
                <w:sz w:val="24"/>
                <w:szCs w:val="24"/>
              </w:rPr>
              <w:t xml:space="preserve">. Derecho constitucional, </w:t>
            </w:r>
            <w:proofErr w:type="spellStart"/>
            <w:r>
              <w:rPr>
                <w:rFonts w:ascii="Arial Narrow" w:eastAsia="Arial Narrow" w:hAnsi="Arial Narrow" w:cs="Arial Narrow"/>
                <w:sz w:val="24"/>
                <w:szCs w:val="24"/>
              </w:rPr>
              <w:t>MSc</w:t>
            </w:r>
            <w:proofErr w:type="spellEnd"/>
            <w:r>
              <w:rPr>
                <w:rFonts w:ascii="Arial Narrow" w:eastAsia="Arial Narrow" w:hAnsi="Arial Narrow" w:cs="Arial Narrow"/>
                <w:sz w:val="24"/>
                <w:szCs w:val="24"/>
              </w:rPr>
              <w:t>. Administración pública</w:t>
            </w:r>
          </w:p>
          <w:p w14:paraId="2D048CEE" w14:textId="77777777" w:rsidR="00685978" w:rsidRDefault="00000000">
            <w:pPr>
              <w:spacing w:before="280" w:after="280"/>
              <w:jc w:val="both"/>
              <w:rPr>
                <w:rFonts w:ascii="Arial Narrow" w:eastAsia="Arial Narrow" w:hAnsi="Arial Narrow" w:cs="Arial Narrow"/>
                <w:sz w:val="24"/>
                <w:szCs w:val="24"/>
              </w:rPr>
            </w:pPr>
            <w:r>
              <w:rPr>
                <w:rFonts w:ascii="Arial Narrow" w:eastAsia="Arial Narrow" w:hAnsi="Arial Narrow" w:cs="Arial Narrow"/>
                <w:sz w:val="24"/>
                <w:szCs w:val="24"/>
              </w:rPr>
              <w:t>En representación de la academia y apoyo técnico especializado participó:</w:t>
            </w:r>
          </w:p>
          <w:p w14:paraId="229F4541" w14:textId="77777777" w:rsidR="00685978" w:rsidRDefault="00000000">
            <w:pPr>
              <w:spacing w:before="280" w:after="280"/>
              <w:jc w:val="both"/>
              <w:rPr>
                <w:rFonts w:ascii="Arial Narrow" w:eastAsia="Arial Narrow" w:hAnsi="Arial Narrow" w:cs="Arial Narrow"/>
                <w:sz w:val="24"/>
                <w:szCs w:val="24"/>
              </w:rPr>
            </w:pPr>
            <w:r>
              <w:rPr>
                <w:rFonts w:ascii="Arial Narrow" w:eastAsia="Arial Narrow" w:hAnsi="Arial Narrow" w:cs="Arial Narrow"/>
                <w:sz w:val="24"/>
                <w:szCs w:val="24"/>
              </w:rPr>
              <w:t xml:space="preserve">Universidad de Manizales Representantes: Julián Andrés Martínez Noreña, Abg. Esp. Derechos humanos y Derecho Constitucional Mario Andrés Puentes Valencia Esp. </w:t>
            </w:r>
            <w:proofErr w:type="spellStart"/>
            <w:r>
              <w:rPr>
                <w:rFonts w:ascii="Arial Narrow" w:eastAsia="Arial Narrow" w:hAnsi="Arial Narrow" w:cs="Arial Narrow"/>
                <w:sz w:val="24"/>
                <w:szCs w:val="24"/>
              </w:rPr>
              <w:t>MSc</w:t>
            </w:r>
            <w:proofErr w:type="spellEnd"/>
            <w:r>
              <w:rPr>
                <w:rFonts w:ascii="Arial Narrow" w:eastAsia="Arial Narrow" w:hAnsi="Arial Narrow" w:cs="Arial Narrow"/>
                <w:sz w:val="24"/>
                <w:szCs w:val="24"/>
              </w:rPr>
              <w:t xml:space="preserve"> Derecho Público </w:t>
            </w:r>
          </w:p>
          <w:p w14:paraId="53308A55" w14:textId="77777777" w:rsidR="00685978" w:rsidRDefault="00000000">
            <w:pPr>
              <w:spacing w:before="280" w:after="280"/>
              <w:jc w:val="both"/>
              <w:rPr>
                <w:rFonts w:ascii="Arial Narrow" w:eastAsia="Arial Narrow" w:hAnsi="Arial Narrow" w:cs="Arial Narrow"/>
                <w:sz w:val="24"/>
                <w:szCs w:val="24"/>
              </w:rPr>
            </w:pPr>
            <w:r>
              <w:rPr>
                <w:rFonts w:ascii="Arial Narrow" w:eastAsia="Arial Narrow" w:hAnsi="Arial Narrow" w:cs="Arial Narrow"/>
                <w:sz w:val="24"/>
                <w:szCs w:val="24"/>
              </w:rPr>
              <w:t xml:space="preserve">Universidad de Caldas Grupo de Investigación Estudios Jurídicos y </w:t>
            </w:r>
            <w:proofErr w:type="spellStart"/>
            <w:r>
              <w:rPr>
                <w:rFonts w:ascii="Arial Narrow" w:eastAsia="Arial Narrow" w:hAnsi="Arial Narrow" w:cs="Arial Narrow"/>
                <w:sz w:val="24"/>
                <w:szCs w:val="24"/>
              </w:rPr>
              <w:t>Sociojurídicos</w:t>
            </w:r>
            <w:proofErr w:type="spellEnd"/>
            <w:r>
              <w:rPr>
                <w:rFonts w:ascii="Arial Narrow" w:eastAsia="Arial Narrow" w:hAnsi="Arial Narrow" w:cs="Arial Narrow"/>
                <w:sz w:val="24"/>
                <w:szCs w:val="24"/>
              </w:rPr>
              <w:t xml:space="preserve"> de la Universidad de Caldas: Representante: Jhoana Milena Zamorano García, </w:t>
            </w:r>
            <w:proofErr w:type="spellStart"/>
            <w:r>
              <w:rPr>
                <w:rFonts w:ascii="Arial Narrow" w:eastAsia="Arial Narrow" w:hAnsi="Arial Narrow" w:cs="Arial Narrow"/>
                <w:sz w:val="24"/>
                <w:szCs w:val="24"/>
              </w:rPr>
              <w:t>Abg.da</w:t>
            </w:r>
            <w:proofErr w:type="spellEnd"/>
            <w:r>
              <w:rPr>
                <w:rFonts w:ascii="Arial Narrow" w:eastAsia="Arial Narrow" w:hAnsi="Arial Narrow" w:cs="Arial Narrow"/>
                <w:sz w:val="24"/>
                <w:szCs w:val="24"/>
              </w:rPr>
              <w:t xml:space="preserve">, AP, </w:t>
            </w:r>
            <w:proofErr w:type="spellStart"/>
            <w:r>
              <w:rPr>
                <w:rFonts w:ascii="Arial Narrow" w:eastAsia="Arial Narrow" w:hAnsi="Arial Narrow" w:cs="Arial Narrow"/>
                <w:sz w:val="24"/>
                <w:szCs w:val="24"/>
              </w:rPr>
              <w:t>MSc</w:t>
            </w:r>
            <w:proofErr w:type="spellEnd"/>
            <w:r>
              <w:rPr>
                <w:rFonts w:ascii="Arial Narrow" w:eastAsia="Arial Narrow" w:hAnsi="Arial Narrow" w:cs="Arial Narrow"/>
                <w:sz w:val="24"/>
                <w:szCs w:val="24"/>
              </w:rPr>
              <w:t>. en Derecho Público</w:t>
            </w:r>
          </w:p>
          <w:p w14:paraId="0837AFCE" w14:textId="77777777" w:rsidR="00685978" w:rsidRDefault="00000000">
            <w:pPr>
              <w:spacing w:before="280" w:after="280"/>
              <w:jc w:val="both"/>
              <w:rPr>
                <w:rFonts w:ascii="Arial Narrow" w:eastAsia="Arial Narrow" w:hAnsi="Arial Narrow" w:cs="Arial Narrow"/>
                <w:sz w:val="24"/>
                <w:szCs w:val="24"/>
              </w:rPr>
            </w:pPr>
            <w:r>
              <w:rPr>
                <w:rFonts w:ascii="Arial Narrow" w:eastAsia="Arial Narrow" w:hAnsi="Arial Narrow" w:cs="Arial Narrow"/>
                <w:sz w:val="24"/>
                <w:szCs w:val="24"/>
              </w:rPr>
              <w:t xml:space="preserve">Asociación Colombiana e Iberoamericana para la ciencia del Bienestar Animal Autores: Stefany Monsalve Barrero MV, </w:t>
            </w:r>
            <w:proofErr w:type="spellStart"/>
            <w:r>
              <w:rPr>
                <w:rFonts w:ascii="Arial Narrow" w:eastAsia="Arial Narrow" w:hAnsi="Arial Narrow" w:cs="Arial Narrow"/>
                <w:sz w:val="24"/>
                <w:szCs w:val="24"/>
              </w:rPr>
              <w:t>MSc</w:t>
            </w:r>
            <w:proofErr w:type="spellEnd"/>
            <w:r>
              <w:rPr>
                <w:rFonts w:ascii="Arial Narrow" w:eastAsia="Arial Narrow" w:hAnsi="Arial Narrow" w:cs="Arial Narrow"/>
                <w:sz w:val="24"/>
                <w:szCs w:val="24"/>
              </w:rPr>
              <w:t xml:space="preserve"> Ciencias Veterinarias con énfasis en </w:t>
            </w:r>
            <w:proofErr w:type="spellStart"/>
            <w:r>
              <w:rPr>
                <w:rFonts w:ascii="Arial Narrow" w:eastAsia="Arial Narrow" w:hAnsi="Arial Narrow" w:cs="Arial Narrow"/>
                <w:sz w:val="24"/>
                <w:szCs w:val="24"/>
              </w:rPr>
              <w:t>One</w:t>
            </w:r>
            <w:proofErr w:type="spellEnd"/>
            <w:r>
              <w:rPr>
                <w:rFonts w:ascii="Arial Narrow" w:eastAsia="Arial Narrow" w:hAnsi="Arial Narrow" w:cs="Arial Narrow"/>
                <w:sz w:val="24"/>
                <w:szCs w:val="24"/>
              </w:rPr>
              <w:t xml:space="preserve"> </w:t>
            </w:r>
            <w:proofErr w:type="spellStart"/>
            <w:r>
              <w:rPr>
                <w:rFonts w:ascii="Arial Narrow" w:eastAsia="Arial Narrow" w:hAnsi="Arial Narrow" w:cs="Arial Narrow"/>
                <w:sz w:val="24"/>
                <w:szCs w:val="24"/>
              </w:rPr>
              <w:t>Health</w:t>
            </w:r>
            <w:proofErr w:type="spellEnd"/>
            <w:r>
              <w:rPr>
                <w:rFonts w:ascii="Arial Narrow" w:eastAsia="Arial Narrow" w:hAnsi="Arial Narrow" w:cs="Arial Narrow"/>
                <w:sz w:val="24"/>
                <w:szCs w:val="24"/>
              </w:rPr>
              <w:t>.</w:t>
            </w:r>
          </w:p>
          <w:p w14:paraId="5B602BE7" w14:textId="77777777" w:rsidR="00685978" w:rsidRDefault="00000000">
            <w:pPr>
              <w:pStyle w:val="Ttulo3"/>
              <w:keepNext w:val="0"/>
              <w:spacing w:before="280" w:after="80"/>
              <w:jc w:val="both"/>
              <w:rPr>
                <w:rFonts w:ascii="Arial Narrow" w:eastAsia="Arial Narrow" w:hAnsi="Arial Narrow" w:cs="Arial Narrow"/>
                <w:sz w:val="24"/>
                <w:szCs w:val="24"/>
              </w:rPr>
            </w:pPr>
            <w:bookmarkStart w:id="1" w:name="_heading=h.ez4wlnqwjrxz" w:colFirst="0" w:colLast="0"/>
            <w:bookmarkEnd w:id="1"/>
            <w:r>
              <w:rPr>
                <w:rFonts w:ascii="Arial Narrow" w:eastAsia="Arial Narrow" w:hAnsi="Arial Narrow" w:cs="Arial Narrow"/>
                <w:sz w:val="26"/>
                <w:szCs w:val="26"/>
              </w:rPr>
              <w:t>Referencias bibliográficas</w:t>
            </w:r>
          </w:p>
          <w:p w14:paraId="1381345B" w14:textId="77777777" w:rsidR="00685978" w:rsidRPr="00B160CD" w:rsidRDefault="00000000">
            <w:pPr>
              <w:spacing w:before="280" w:after="280"/>
              <w:rPr>
                <w:rFonts w:ascii="Arial Narrow" w:eastAsia="Arial Narrow" w:hAnsi="Arial Narrow" w:cs="Arial Narrow"/>
                <w:sz w:val="24"/>
                <w:szCs w:val="24"/>
                <w:lang w:val="en-US"/>
              </w:rPr>
            </w:pPr>
            <w:r>
              <w:rPr>
                <w:rFonts w:ascii="Arial Narrow" w:eastAsia="Arial Narrow" w:hAnsi="Arial Narrow" w:cs="Arial Narrow"/>
                <w:sz w:val="24"/>
                <w:szCs w:val="24"/>
              </w:rPr>
              <w:t xml:space="preserve">Bandura, A. (1977). Social </w:t>
            </w:r>
            <w:proofErr w:type="spellStart"/>
            <w:r>
              <w:rPr>
                <w:rFonts w:ascii="Arial Narrow" w:eastAsia="Arial Narrow" w:hAnsi="Arial Narrow" w:cs="Arial Narrow"/>
                <w:sz w:val="24"/>
                <w:szCs w:val="24"/>
              </w:rPr>
              <w:t>learning</w:t>
            </w:r>
            <w:proofErr w:type="spellEnd"/>
            <w:r>
              <w:rPr>
                <w:rFonts w:ascii="Arial Narrow" w:eastAsia="Arial Narrow" w:hAnsi="Arial Narrow" w:cs="Arial Narrow"/>
                <w:sz w:val="24"/>
                <w:szCs w:val="24"/>
              </w:rPr>
              <w:t xml:space="preserve"> </w:t>
            </w:r>
            <w:proofErr w:type="spellStart"/>
            <w:r>
              <w:rPr>
                <w:rFonts w:ascii="Arial Narrow" w:eastAsia="Arial Narrow" w:hAnsi="Arial Narrow" w:cs="Arial Narrow"/>
                <w:sz w:val="24"/>
                <w:szCs w:val="24"/>
              </w:rPr>
              <w:t>theory</w:t>
            </w:r>
            <w:proofErr w:type="spellEnd"/>
            <w:r>
              <w:rPr>
                <w:rFonts w:ascii="Arial Narrow" w:eastAsia="Arial Narrow" w:hAnsi="Arial Narrow" w:cs="Arial Narrow"/>
                <w:sz w:val="24"/>
                <w:szCs w:val="24"/>
              </w:rPr>
              <w:t xml:space="preserve">. </w:t>
            </w:r>
            <w:r w:rsidRPr="00B160CD">
              <w:rPr>
                <w:rFonts w:ascii="Arial Narrow" w:eastAsia="Arial Narrow" w:hAnsi="Arial Narrow" w:cs="Arial Narrow"/>
                <w:sz w:val="24"/>
                <w:szCs w:val="24"/>
                <w:lang w:val="en-US"/>
              </w:rPr>
              <w:t>Prentice Hall.</w:t>
            </w:r>
          </w:p>
          <w:p w14:paraId="5EC24F10" w14:textId="77777777" w:rsidR="00685978" w:rsidRPr="00B160CD" w:rsidRDefault="00000000">
            <w:pPr>
              <w:spacing w:before="280" w:after="280"/>
              <w:rPr>
                <w:rFonts w:ascii="Arial Narrow" w:eastAsia="Arial Narrow" w:hAnsi="Arial Narrow" w:cs="Arial Narrow"/>
                <w:sz w:val="24"/>
                <w:szCs w:val="24"/>
                <w:lang w:val="en-US"/>
              </w:rPr>
            </w:pPr>
            <w:r w:rsidRPr="00B160CD">
              <w:rPr>
                <w:rFonts w:ascii="Arial Narrow" w:eastAsia="Arial Narrow" w:hAnsi="Arial Narrow" w:cs="Arial Narrow"/>
                <w:sz w:val="24"/>
                <w:szCs w:val="24"/>
                <w:lang w:val="en-US"/>
              </w:rPr>
              <w:t>Broom, D. M. (2014). Sentience and animal welfare. CABI Publishing.</w:t>
            </w:r>
          </w:p>
          <w:p w14:paraId="5F600801" w14:textId="77777777" w:rsidR="00685978" w:rsidRPr="00B160CD" w:rsidRDefault="00000000">
            <w:pPr>
              <w:spacing w:before="280" w:after="280"/>
              <w:rPr>
                <w:rFonts w:ascii="Arial Narrow" w:eastAsia="Arial Narrow" w:hAnsi="Arial Narrow" w:cs="Arial Narrow"/>
                <w:sz w:val="24"/>
                <w:szCs w:val="24"/>
                <w:lang w:val="en-US"/>
              </w:rPr>
            </w:pPr>
            <w:r w:rsidRPr="00B160CD">
              <w:rPr>
                <w:rFonts w:ascii="Arial Narrow" w:eastAsia="Arial Narrow" w:hAnsi="Arial Narrow" w:cs="Arial Narrow"/>
                <w:sz w:val="24"/>
                <w:szCs w:val="24"/>
                <w:lang w:val="en-US"/>
              </w:rPr>
              <w:t>CASEL. (2020). What is SEL? Collaborative for Academic, Social, and Emotional Learning. https://casel.org</w:t>
            </w:r>
          </w:p>
          <w:p w14:paraId="021FFD7C" w14:textId="77777777" w:rsidR="00685978" w:rsidRPr="00B160CD" w:rsidRDefault="00000000">
            <w:pPr>
              <w:spacing w:before="280" w:after="280"/>
              <w:rPr>
                <w:rFonts w:ascii="Arial Narrow" w:eastAsia="Arial Narrow" w:hAnsi="Arial Narrow" w:cs="Arial Narrow"/>
                <w:sz w:val="24"/>
                <w:szCs w:val="24"/>
                <w:lang w:val="en-US"/>
              </w:rPr>
            </w:pPr>
            <w:r>
              <w:rPr>
                <w:rFonts w:ascii="Arial Narrow" w:eastAsia="Arial Narrow" w:hAnsi="Arial Narrow" w:cs="Arial Narrow"/>
                <w:sz w:val="24"/>
                <w:szCs w:val="24"/>
              </w:rPr>
              <w:t xml:space="preserve">Corte Constitucional de Colombia. (2017). Sentencia C-041 de 2017. </w:t>
            </w:r>
            <w:r w:rsidRPr="00B160CD">
              <w:rPr>
                <w:rFonts w:ascii="Arial Narrow" w:eastAsia="Arial Narrow" w:hAnsi="Arial Narrow" w:cs="Arial Narrow"/>
                <w:sz w:val="24"/>
                <w:szCs w:val="24"/>
                <w:lang w:val="en-US"/>
              </w:rPr>
              <w:t xml:space="preserve">Corte </w:t>
            </w:r>
            <w:proofErr w:type="spellStart"/>
            <w:r w:rsidRPr="00B160CD">
              <w:rPr>
                <w:rFonts w:ascii="Arial Narrow" w:eastAsia="Arial Narrow" w:hAnsi="Arial Narrow" w:cs="Arial Narrow"/>
                <w:sz w:val="24"/>
                <w:szCs w:val="24"/>
                <w:lang w:val="en-US"/>
              </w:rPr>
              <w:t>Constitucional</w:t>
            </w:r>
            <w:proofErr w:type="spellEnd"/>
            <w:r w:rsidRPr="00B160CD">
              <w:rPr>
                <w:rFonts w:ascii="Arial Narrow" w:eastAsia="Arial Narrow" w:hAnsi="Arial Narrow" w:cs="Arial Narrow"/>
                <w:sz w:val="24"/>
                <w:szCs w:val="24"/>
                <w:lang w:val="en-US"/>
              </w:rPr>
              <w:t xml:space="preserve"> de Colombia.</w:t>
            </w:r>
          </w:p>
          <w:p w14:paraId="204C3FD6" w14:textId="77777777" w:rsidR="00685978" w:rsidRPr="00B160CD" w:rsidRDefault="00000000">
            <w:pPr>
              <w:spacing w:before="280" w:after="280"/>
              <w:rPr>
                <w:rFonts w:ascii="Arial Narrow" w:eastAsia="Arial Narrow" w:hAnsi="Arial Narrow" w:cs="Arial Narrow"/>
                <w:sz w:val="24"/>
                <w:szCs w:val="24"/>
                <w:lang w:val="en-US"/>
              </w:rPr>
            </w:pPr>
            <w:r w:rsidRPr="00B160CD">
              <w:rPr>
                <w:rFonts w:ascii="Arial Narrow" w:eastAsia="Arial Narrow" w:hAnsi="Arial Narrow" w:cs="Arial Narrow"/>
                <w:sz w:val="24"/>
                <w:szCs w:val="24"/>
                <w:lang w:val="en-US"/>
              </w:rPr>
              <w:t xml:space="preserve">Duncan, I. J. H. (2006). The changing concept of animal sentience. Applied Animal </w:t>
            </w:r>
            <w:proofErr w:type="spellStart"/>
            <w:r w:rsidRPr="00B160CD">
              <w:rPr>
                <w:rFonts w:ascii="Arial Narrow" w:eastAsia="Arial Narrow" w:hAnsi="Arial Narrow" w:cs="Arial Narrow"/>
                <w:sz w:val="24"/>
                <w:szCs w:val="24"/>
                <w:lang w:val="en-US"/>
              </w:rPr>
              <w:t>Behaviour</w:t>
            </w:r>
            <w:proofErr w:type="spellEnd"/>
            <w:r w:rsidRPr="00B160CD">
              <w:rPr>
                <w:rFonts w:ascii="Arial Narrow" w:eastAsia="Arial Narrow" w:hAnsi="Arial Narrow" w:cs="Arial Narrow"/>
                <w:sz w:val="24"/>
                <w:szCs w:val="24"/>
                <w:lang w:val="en-US"/>
              </w:rPr>
              <w:t xml:space="preserve"> Science, 100(1–2), 11–19. https://doi.org/10.1016/j.applanim.2006.04.011</w:t>
            </w:r>
          </w:p>
          <w:p w14:paraId="2839BAA8" w14:textId="77777777" w:rsidR="00685978" w:rsidRPr="00B160CD" w:rsidRDefault="00000000">
            <w:pPr>
              <w:spacing w:before="280" w:after="280"/>
              <w:rPr>
                <w:rFonts w:ascii="Arial Narrow" w:eastAsia="Arial Narrow" w:hAnsi="Arial Narrow" w:cs="Arial Narrow"/>
                <w:sz w:val="24"/>
                <w:szCs w:val="24"/>
                <w:lang w:val="en-US"/>
              </w:rPr>
            </w:pPr>
            <w:r w:rsidRPr="00B160CD">
              <w:rPr>
                <w:rFonts w:ascii="Arial Narrow" w:eastAsia="Arial Narrow" w:hAnsi="Arial Narrow" w:cs="Arial Narrow"/>
                <w:sz w:val="24"/>
                <w:szCs w:val="24"/>
                <w:lang w:val="en-US"/>
              </w:rPr>
              <w:t>Farm Animal Welfare Council (FAWC). (1979). Five freedoms. FAWC.</w:t>
            </w:r>
          </w:p>
          <w:p w14:paraId="49BA7534" w14:textId="77777777" w:rsidR="00685978" w:rsidRPr="00B160CD" w:rsidRDefault="00000000">
            <w:pPr>
              <w:spacing w:before="280" w:after="280"/>
              <w:rPr>
                <w:rFonts w:ascii="Arial Narrow" w:eastAsia="Arial Narrow" w:hAnsi="Arial Narrow" w:cs="Arial Narrow"/>
                <w:sz w:val="24"/>
                <w:szCs w:val="24"/>
                <w:lang w:val="en-US"/>
              </w:rPr>
            </w:pPr>
            <w:r w:rsidRPr="00B160CD">
              <w:rPr>
                <w:rFonts w:ascii="Arial Narrow" w:eastAsia="Arial Narrow" w:hAnsi="Arial Narrow" w:cs="Arial Narrow"/>
                <w:sz w:val="24"/>
                <w:szCs w:val="24"/>
                <w:lang w:val="en-US"/>
              </w:rPr>
              <w:t>Fraser, D. (2008). Understanding animal welfare: The science in its cultural context. Wiley-Blackwell.</w:t>
            </w:r>
          </w:p>
          <w:p w14:paraId="112F323F" w14:textId="77777777" w:rsidR="00685978" w:rsidRPr="00B160CD" w:rsidRDefault="00000000">
            <w:pPr>
              <w:spacing w:before="280" w:after="280"/>
              <w:rPr>
                <w:rFonts w:ascii="Arial Narrow" w:eastAsia="Arial Narrow" w:hAnsi="Arial Narrow" w:cs="Arial Narrow"/>
                <w:sz w:val="24"/>
                <w:szCs w:val="24"/>
                <w:lang w:val="en-US"/>
              </w:rPr>
            </w:pPr>
            <w:proofErr w:type="spellStart"/>
            <w:r w:rsidRPr="00B160CD">
              <w:rPr>
                <w:rFonts w:ascii="Arial Narrow" w:eastAsia="Arial Narrow" w:hAnsi="Arial Narrow" w:cs="Arial Narrow"/>
                <w:sz w:val="24"/>
                <w:szCs w:val="24"/>
                <w:lang w:val="en-US"/>
              </w:rPr>
              <w:t>Jegatheesan</w:t>
            </w:r>
            <w:proofErr w:type="spellEnd"/>
            <w:r w:rsidRPr="00B160CD">
              <w:rPr>
                <w:rFonts w:ascii="Arial Narrow" w:eastAsia="Arial Narrow" w:hAnsi="Arial Narrow" w:cs="Arial Narrow"/>
                <w:sz w:val="24"/>
                <w:szCs w:val="24"/>
                <w:lang w:val="en-US"/>
              </w:rPr>
              <w:t>, B., Enders-</w:t>
            </w:r>
            <w:proofErr w:type="spellStart"/>
            <w:r w:rsidRPr="00B160CD">
              <w:rPr>
                <w:rFonts w:ascii="Arial Narrow" w:eastAsia="Arial Narrow" w:hAnsi="Arial Narrow" w:cs="Arial Narrow"/>
                <w:sz w:val="24"/>
                <w:szCs w:val="24"/>
                <w:lang w:val="en-US"/>
              </w:rPr>
              <w:t>Slegers</w:t>
            </w:r>
            <w:proofErr w:type="spellEnd"/>
            <w:r w:rsidRPr="00B160CD">
              <w:rPr>
                <w:rFonts w:ascii="Arial Narrow" w:eastAsia="Arial Narrow" w:hAnsi="Arial Narrow" w:cs="Arial Narrow"/>
                <w:sz w:val="24"/>
                <w:szCs w:val="24"/>
                <w:lang w:val="en-US"/>
              </w:rPr>
              <w:t>, M. J., Ormerod, E., &amp; Boyden, P. (2020). Understanding the link between animal cruelty and family violence: The bioecological systems model. International Journal of Environmental Research and Public Health, 17(9), 3116. https://doi.org/10.3390/ijerph17093116</w:t>
            </w:r>
          </w:p>
          <w:p w14:paraId="5AA75302" w14:textId="77777777" w:rsidR="00685978" w:rsidRPr="00B160CD" w:rsidRDefault="00000000">
            <w:pPr>
              <w:spacing w:before="280" w:after="280"/>
              <w:rPr>
                <w:rFonts w:ascii="Arial Narrow" w:eastAsia="Arial Narrow" w:hAnsi="Arial Narrow" w:cs="Arial Narrow"/>
                <w:sz w:val="24"/>
                <w:szCs w:val="24"/>
                <w:lang w:val="en-US"/>
              </w:rPr>
            </w:pPr>
            <w:r w:rsidRPr="00B160CD">
              <w:rPr>
                <w:rFonts w:ascii="Arial Narrow" w:eastAsia="Arial Narrow" w:hAnsi="Arial Narrow" w:cs="Arial Narrow"/>
                <w:sz w:val="24"/>
                <w:szCs w:val="24"/>
                <w:lang w:val="en-US"/>
              </w:rPr>
              <w:t>Kolb, D. A. (1984). Experiential learning: Experience as the source of learning and development. Prentice Hall.</w:t>
            </w:r>
          </w:p>
          <w:p w14:paraId="60284F70" w14:textId="77777777" w:rsidR="00685978" w:rsidRPr="00B160CD" w:rsidRDefault="00000000">
            <w:pPr>
              <w:spacing w:before="280" w:after="280"/>
              <w:rPr>
                <w:rFonts w:ascii="Arial Narrow" w:eastAsia="Arial Narrow" w:hAnsi="Arial Narrow" w:cs="Arial Narrow"/>
                <w:sz w:val="24"/>
                <w:szCs w:val="24"/>
                <w:lang w:val="en-US"/>
              </w:rPr>
            </w:pPr>
            <w:r w:rsidRPr="00B160CD">
              <w:rPr>
                <w:rFonts w:ascii="Arial Narrow" w:eastAsia="Arial Narrow" w:hAnsi="Arial Narrow" w:cs="Arial Narrow"/>
                <w:sz w:val="24"/>
                <w:szCs w:val="24"/>
                <w:lang w:val="en-US"/>
              </w:rPr>
              <w:t xml:space="preserve">Low, P., </w:t>
            </w:r>
            <w:proofErr w:type="spellStart"/>
            <w:r w:rsidRPr="00B160CD">
              <w:rPr>
                <w:rFonts w:ascii="Arial Narrow" w:eastAsia="Arial Narrow" w:hAnsi="Arial Narrow" w:cs="Arial Narrow"/>
                <w:sz w:val="24"/>
                <w:szCs w:val="24"/>
                <w:lang w:val="en-US"/>
              </w:rPr>
              <w:t>Panksepp</w:t>
            </w:r>
            <w:proofErr w:type="spellEnd"/>
            <w:r w:rsidRPr="00B160CD">
              <w:rPr>
                <w:rFonts w:ascii="Arial Narrow" w:eastAsia="Arial Narrow" w:hAnsi="Arial Narrow" w:cs="Arial Narrow"/>
                <w:sz w:val="24"/>
                <w:szCs w:val="24"/>
                <w:lang w:val="en-US"/>
              </w:rPr>
              <w:t xml:space="preserve">, J., Reiss, D., et al. </w:t>
            </w:r>
            <w:r>
              <w:rPr>
                <w:rFonts w:ascii="Arial Narrow" w:eastAsia="Arial Narrow" w:hAnsi="Arial Narrow" w:cs="Arial Narrow"/>
                <w:sz w:val="24"/>
                <w:szCs w:val="24"/>
              </w:rPr>
              <w:t xml:space="preserve">(2012). </w:t>
            </w:r>
            <w:r w:rsidRPr="00B160CD">
              <w:rPr>
                <w:rFonts w:ascii="Arial Narrow" w:eastAsia="Arial Narrow" w:hAnsi="Arial Narrow" w:cs="Arial Narrow"/>
                <w:sz w:val="24"/>
                <w:szCs w:val="24"/>
                <w:lang w:val="en-US"/>
              </w:rPr>
              <w:t>The Cambridge Declaration on Consciousness. Francis Crick Memorial Conference, University of Cambridge. https://fcmconference.org/img/CambridgeDeclarationOnConsciousness.pdf</w:t>
            </w:r>
          </w:p>
          <w:p w14:paraId="057C621E" w14:textId="77777777" w:rsidR="00685978" w:rsidRPr="00B160CD" w:rsidRDefault="00000000">
            <w:pPr>
              <w:spacing w:before="280" w:after="280"/>
              <w:rPr>
                <w:rFonts w:ascii="Arial Narrow" w:eastAsia="Arial Narrow" w:hAnsi="Arial Narrow" w:cs="Arial Narrow"/>
                <w:sz w:val="24"/>
                <w:szCs w:val="24"/>
                <w:lang w:val="en-US"/>
              </w:rPr>
            </w:pPr>
            <w:r w:rsidRPr="00B160CD">
              <w:rPr>
                <w:rFonts w:ascii="Arial Narrow" w:eastAsia="Arial Narrow" w:hAnsi="Arial Narrow" w:cs="Arial Narrow"/>
                <w:sz w:val="24"/>
                <w:szCs w:val="24"/>
                <w:lang w:val="en-US"/>
              </w:rPr>
              <w:lastRenderedPageBreak/>
              <w:t>Mellor, D. J., &amp; Reid, C. S. W. (1994). Concepts of animal well-being and predicting the impact of procedures on experimental animals. In R. Baker, G. Jenkin, &amp; D. Mellor (Eds.), Improving the well-being of animals in the research environment (pp. 3–18). Australian and New Zealand Council for the Care of Animals in Research and Teaching.</w:t>
            </w:r>
          </w:p>
          <w:p w14:paraId="0FCCD7FE" w14:textId="77777777" w:rsidR="00685978" w:rsidRPr="00B160CD" w:rsidRDefault="00000000">
            <w:pPr>
              <w:spacing w:before="280" w:after="280"/>
              <w:rPr>
                <w:rFonts w:ascii="Arial Narrow" w:eastAsia="Arial Narrow" w:hAnsi="Arial Narrow" w:cs="Arial Narrow"/>
                <w:sz w:val="24"/>
                <w:szCs w:val="24"/>
                <w:lang w:val="en-US"/>
              </w:rPr>
            </w:pPr>
            <w:r w:rsidRPr="00B160CD">
              <w:rPr>
                <w:rFonts w:ascii="Arial Narrow" w:eastAsia="Arial Narrow" w:hAnsi="Arial Narrow" w:cs="Arial Narrow"/>
                <w:sz w:val="24"/>
                <w:szCs w:val="24"/>
                <w:lang w:val="en-US"/>
              </w:rPr>
              <w:t xml:space="preserve">Mellor, D. J., </w:t>
            </w:r>
            <w:proofErr w:type="spellStart"/>
            <w:r w:rsidRPr="00B160CD">
              <w:rPr>
                <w:rFonts w:ascii="Arial Narrow" w:eastAsia="Arial Narrow" w:hAnsi="Arial Narrow" w:cs="Arial Narrow"/>
                <w:sz w:val="24"/>
                <w:szCs w:val="24"/>
                <w:lang w:val="en-US"/>
              </w:rPr>
              <w:t>Beausoleil</w:t>
            </w:r>
            <w:proofErr w:type="spellEnd"/>
            <w:r w:rsidRPr="00B160CD">
              <w:rPr>
                <w:rFonts w:ascii="Arial Narrow" w:eastAsia="Arial Narrow" w:hAnsi="Arial Narrow" w:cs="Arial Narrow"/>
                <w:sz w:val="24"/>
                <w:szCs w:val="24"/>
                <w:lang w:val="en-US"/>
              </w:rPr>
              <w:t>, N. J., Littlewood, K. E., McLean, A. N., McGreevy, P. D., Jones, B., &amp; Wilkins, C. (2020). The 2020 Five Domains Model: Including human-animal interactions in assessments of animal welfare. Animals, 10(10), 1870. https://doi.org/10.3390/ani10101870</w:t>
            </w:r>
          </w:p>
          <w:p w14:paraId="4086DC80" w14:textId="77777777" w:rsidR="00685978" w:rsidRPr="00B160CD" w:rsidRDefault="00000000">
            <w:pPr>
              <w:spacing w:before="280" w:after="280"/>
              <w:rPr>
                <w:rFonts w:ascii="Arial Narrow" w:eastAsia="Arial Narrow" w:hAnsi="Arial Narrow" w:cs="Arial Narrow"/>
                <w:sz w:val="24"/>
                <w:szCs w:val="24"/>
                <w:lang w:val="en-US"/>
              </w:rPr>
            </w:pPr>
            <w:r w:rsidRPr="00B160CD">
              <w:rPr>
                <w:rFonts w:ascii="Arial Narrow" w:eastAsia="Arial Narrow" w:hAnsi="Arial Narrow" w:cs="Arial Narrow"/>
                <w:sz w:val="24"/>
                <w:szCs w:val="24"/>
                <w:lang w:val="en-US"/>
              </w:rPr>
              <w:t>Mezirow, J. (1994). Understanding transformation theory. Adult Education Quarterly, 44(4), 222–232. https://doi.org/10.1177/074171369404400403</w:t>
            </w:r>
          </w:p>
          <w:p w14:paraId="10C6014E" w14:textId="77777777" w:rsidR="00685978" w:rsidRPr="00B160CD" w:rsidRDefault="00000000">
            <w:pPr>
              <w:spacing w:before="280" w:after="280"/>
              <w:rPr>
                <w:rFonts w:ascii="Arial Narrow" w:eastAsia="Arial Narrow" w:hAnsi="Arial Narrow" w:cs="Arial Narrow"/>
                <w:sz w:val="24"/>
                <w:szCs w:val="24"/>
                <w:lang w:val="en-US"/>
              </w:rPr>
            </w:pPr>
            <w:r>
              <w:rPr>
                <w:rFonts w:ascii="Arial Narrow" w:eastAsia="Arial Narrow" w:hAnsi="Arial Narrow" w:cs="Arial Narrow"/>
                <w:sz w:val="24"/>
                <w:szCs w:val="24"/>
              </w:rPr>
              <w:t xml:space="preserve">Monsalve, S., Ferreira, F., &amp; </w:t>
            </w:r>
            <w:proofErr w:type="spellStart"/>
            <w:r>
              <w:rPr>
                <w:rFonts w:ascii="Arial Narrow" w:eastAsia="Arial Narrow" w:hAnsi="Arial Narrow" w:cs="Arial Narrow"/>
                <w:sz w:val="24"/>
                <w:szCs w:val="24"/>
              </w:rPr>
              <w:t>Garcia</w:t>
            </w:r>
            <w:proofErr w:type="spellEnd"/>
            <w:r>
              <w:rPr>
                <w:rFonts w:ascii="Arial Narrow" w:eastAsia="Arial Narrow" w:hAnsi="Arial Narrow" w:cs="Arial Narrow"/>
                <w:sz w:val="24"/>
                <w:szCs w:val="24"/>
              </w:rPr>
              <w:t xml:space="preserve">, R. (2017). </w:t>
            </w:r>
            <w:r w:rsidRPr="00B160CD">
              <w:rPr>
                <w:rFonts w:ascii="Arial Narrow" w:eastAsia="Arial Narrow" w:hAnsi="Arial Narrow" w:cs="Arial Narrow"/>
                <w:sz w:val="24"/>
                <w:szCs w:val="24"/>
                <w:lang w:val="en-US"/>
              </w:rPr>
              <w:t>The connection between animal abuse and interpersonal violence: A review from the veterinary perspective. Research in Veterinary Science, 114, 18–26. https://doi.org/10.1016/j.rvsc.2017.02.025</w:t>
            </w:r>
          </w:p>
          <w:p w14:paraId="172CC8E8" w14:textId="77777777" w:rsidR="00685978" w:rsidRPr="00B160CD" w:rsidRDefault="00000000">
            <w:pPr>
              <w:spacing w:before="280" w:after="280"/>
              <w:rPr>
                <w:rFonts w:ascii="Arial Narrow" w:eastAsia="Arial Narrow" w:hAnsi="Arial Narrow" w:cs="Arial Narrow"/>
                <w:sz w:val="24"/>
                <w:szCs w:val="24"/>
                <w:lang w:val="en-US"/>
              </w:rPr>
            </w:pPr>
            <w:r w:rsidRPr="00B160CD">
              <w:rPr>
                <w:rFonts w:ascii="Arial Narrow" w:eastAsia="Arial Narrow" w:hAnsi="Arial Narrow" w:cs="Arial Narrow"/>
                <w:sz w:val="24"/>
                <w:szCs w:val="24"/>
                <w:lang w:val="en-US"/>
              </w:rPr>
              <w:t xml:space="preserve">World Health Organization (WHO), Food and Agriculture Organization of the United Nations (FAO), World </w:t>
            </w:r>
            <w:proofErr w:type="spellStart"/>
            <w:r w:rsidRPr="00B160CD">
              <w:rPr>
                <w:rFonts w:ascii="Arial Narrow" w:eastAsia="Arial Narrow" w:hAnsi="Arial Narrow" w:cs="Arial Narrow"/>
                <w:sz w:val="24"/>
                <w:szCs w:val="24"/>
                <w:lang w:val="en-US"/>
              </w:rPr>
              <w:t>Organisation</w:t>
            </w:r>
            <w:proofErr w:type="spellEnd"/>
            <w:r w:rsidRPr="00B160CD">
              <w:rPr>
                <w:rFonts w:ascii="Arial Narrow" w:eastAsia="Arial Narrow" w:hAnsi="Arial Narrow" w:cs="Arial Narrow"/>
                <w:sz w:val="24"/>
                <w:szCs w:val="24"/>
                <w:lang w:val="en-US"/>
              </w:rPr>
              <w:t xml:space="preserve"> for Animal Health (WOAH), &amp; United Nations Environment </w:t>
            </w:r>
            <w:proofErr w:type="spellStart"/>
            <w:r w:rsidRPr="00B160CD">
              <w:rPr>
                <w:rFonts w:ascii="Arial Narrow" w:eastAsia="Arial Narrow" w:hAnsi="Arial Narrow" w:cs="Arial Narrow"/>
                <w:sz w:val="24"/>
                <w:szCs w:val="24"/>
                <w:lang w:val="en-US"/>
              </w:rPr>
              <w:t>Programme</w:t>
            </w:r>
            <w:proofErr w:type="spellEnd"/>
            <w:r w:rsidRPr="00B160CD">
              <w:rPr>
                <w:rFonts w:ascii="Arial Narrow" w:eastAsia="Arial Narrow" w:hAnsi="Arial Narrow" w:cs="Arial Narrow"/>
                <w:sz w:val="24"/>
                <w:szCs w:val="24"/>
                <w:lang w:val="en-US"/>
              </w:rPr>
              <w:t xml:space="preserve"> (UNEP). (2022). One Health joint plan of action (2022–2026). WHO.</w:t>
            </w:r>
          </w:p>
          <w:p w14:paraId="2C242F45" w14:textId="77777777" w:rsidR="00685978" w:rsidRPr="00B160CD" w:rsidRDefault="00000000">
            <w:pPr>
              <w:spacing w:before="280" w:after="280"/>
              <w:rPr>
                <w:rFonts w:ascii="Arial Narrow" w:eastAsia="Arial Narrow" w:hAnsi="Arial Narrow" w:cs="Arial Narrow"/>
                <w:sz w:val="24"/>
                <w:szCs w:val="24"/>
                <w:lang w:val="en-US"/>
              </w:rPr>
            </w:pPr>
            <w:r w:rsidRPr="00B160CD">
              <w:rPr>
                <w:rFonts w:ascii="Arial Narrow" w:eastAsia="Arial Narrow" w:hAnsi="Arial Narrow" w:cs="Arial Narrow"/>
                <w:sz w:val="24"/>
                <w:szCs w:val="24"/>
                <w:lang w:val="en-US"/>
              </w:rPr>
              <w:t xml:space="preserve">World </w:t>
            </w:r>
            <w:proofErr w:type="spellStart"/>
            <w:r w:rsidRPr="00B160CD">
              <w:rPr>
                <w:rFonts w:ascii="Arial Narrow" w:eastAsia="Arial Narrow" w:hAnsi="Arial Narrow" w:cs="Arial Narrow"/>
                <w:sz w:val="24"/>
                <w:szCs w:val="24"/>
                <w:lang w:val="en-US"/>
              </w:rPr>
              <w:t>Organisation</w:t>
            </w:r>
            <w:proofErr w:type="spellEnd"/>
            <w:r w:rsidRPr="00B160CD">
              <w:rPr>
                <w:rFonts w:ascii="Arial Narrow" w:eastAsia="Arial Narrow" w:hAnsi="Arial Narrow" w:cs="Arial Narrow"/>
                <w:sz w:val="24"/>
                <w:szCs w:val="24"/>
                <w:lang w:val="en-US"/>
              </w:rPr>
              <w:t xml:space="preserve"> for Animal Health (WOAH). (2023). Terrestrial animal health code. WOAH.</w:t>
            </w:r>
          </w:p>
        </w:tc>
      </w:tr>
      <w:tr w:rsidR="00685978" w14:paraId="5B4C445D" w14:textId="77777777">
        <w:trPr>
          <w:trHeight w:val="416"/>
        </w:trPr>
        <w:tc>
          <w:tcPr>
            <w:tcW w:w="10785" w:type="dxa"/>
            <w:gridSpan w:val="3"/>
            <w:tcBorders>
              <w:top w:val="single" w:sz="4" w:space="0" w:color="000000"/>
              <w:bottom w:val="single" w:sz="4" w:space="0" w:color="000000"/>
            </w:tcBorders>
            <w:shd w:val="clear" w:color="auto" w:fill="154A8A"/>
            <w:vAlign w:val="center"/>
          </w:tcPr>
          <w:p w14:paraId="50515590" w14:textId="77777777" w:rsidR="00685978" w:rsidRDefault="00000000">
            <w:pPr>
              <w:jc w:val="both"/>
              <w:rPr>
                <w:rFonts w:ascii="Arial Narrow" w:eastAsia="Arial Narrow" w:hAnsi="Arial Narrow" w:cs="Arial Narrow"/>
                <w:color w:val="FFFFFF"/>
                <w:sz w:val="22"/>
                <w:szCs w:val="22"/>
              </w:rPr>
            </w:pPr>
            <w:r>
              <w:rPr>
                <w:rFonts w:ascii="Arial Narrow" w:eastAsia="Arial Narrow" w:hAnsi="Arial Narrow" w:cs="Arial Narrow"/>
                <w:b/>
                <w:bCs/>
                <w:color w:val="FFFFFF"/>
                <w:sz w:val="22"/>
                <w:szCs w:val="22"/>
              </w:rPr>
              <w:lastRenderedPageBreak/>
              <w:t>ANEXOS:</w:t>
            </w:r>
            <w:r>
              <w:rPr>
                <w:rFonts w:ascii="Arial Narrow" w:eastAsia="Arial Narrow" w:hAnsi="Arial Narrow" w:cs="Arial Narrow"/>
                <w:color w:val="FFFFFF"/>
                <w:sz w:val="22"/>
                <w:szCs w:val="22"/>
              </w:rPr>
              <w:t xml:space="preserve"> </w:t>
            </w:r>
          </w:p>
        </w:tc>
      </w:tr>
      <w:tr w:rsidR="00685978" w14:paraId="37E4A7A7" w14:textId="77777777">
        <w:trPr>
          <w:trHeight w:val="66"/>
        </w:trPr>
        <w:tc>
          <w:tcPr>
            <w:tcW w:w="7665" w:type="dxa"/>
            <w:gridSpan w:val="2"/>
            <w:tcBorders>
              <w:top w:val="single" w:sz="4" w:space="0" w:color="000000"/>
              <w:bottom w:val="single" w:sz="4" w:space="0" w:color="000000"/>
              <w:right w:val="single" w:sz="4" w:space="0" w:color="000000"/>
            </w:tcBorders>
            <w:shd w:val="clear" w:color="auto" w:fill="FFFFFF"/>
            <w:vAlign w:val="center"/>
          </w:tcPr>
          <w:p w14:paraId="17E78678" w14:textId="77777777" w:rsidR="00685978" w:rsidRDefault="00000000">
            <w:pPr>
              <w:jc w:val="both"/>
              <w:rPr>
                <w:rFonts w:ascii="Arial Narrow" w:eastAsia="Arial Narrow" w:hAnsi="Arial Narrow" w:cs="Arial Narrow"/>
                <w:sz w:val="22"/>
                <w:szCs w:val="22"/>
              </w:rPr>
            </w:pPr>
            <w:r>
              <w:rPr>
                <w:rFonts w:ascii="Arial Narrow" w:eastAsia="Arial Narrow" w:hAnsi="Arial Narrow" w:cs="Arial Narrow"/>
                <w:sz w:val="22"/>
                <w:szCs w:val="22"/>
              </w:rPr>
              <w:t xml:space="preserve">Certificación de cumplimiento de requisitos de consulta, publicidad y de incorporación en la agenda regulatoria </w:t>
            </w:r>
          </w:p>
          <w:p w14:paraId="281E658A" w14:textId="77777777" w:rsidR="00685978" w:rsidRDefault="00000000">
            <w:pPr>
              <w:jc w:val="both"/>
              <w:rPr>
                <w:rFonts w:ascii="Arial Narrow" w:eastAsia="Arial Narrow" w:hAnsi="Arial Narrow" w:cs="Arial Narrow"/>
                <w:i/>
                <w:iCs/>
                <w:color w:val="808080"/>
                <w:sz w:val="22"/>
                <w:szCs w:val="22"/>
              </w:rPr>
            </w:pPr>
            <w:r>
              <w:rPr>
                <w:rFonts w:ascii="Arial Narrow" w:eastAsia="Arial Narrow" w:hAnsi="Arial Narrow" w:cs="Arial Narrow"/>
                <w:i/>
                <w:iCs/>
                <w:color w:val="808080"/>
              </w:rPr>
              <w:t>(Firmada por el servidor público competente –entidad originadora)</w:t>
            </w:r>
          </w:p>
        </w:tc>
        <w:tc>
          <w:tcPr>
            <w:tcW w:w="3120" w:type="dxa"/>
            <w:tcBorders>
              <w:top w:val="single" w:sz="4" w:space="0" w:color="000000"/>
              <w:left w:val="single" w:sz="4" w:space="0" w:color="000000"/>
              <w:bottom w:val="single" w:sz="4" w:space="0" w:color="000000"/>
            </w:tcBorders>
            <w:shd w:val="clear" w:color="auto" w:fill="FFFFFF"/>
            <w:vAlign w:val="center"/>
          </w:tcPr>
          <w:p w14:paraId="312A1E99" w14:textId="77777777" w:rsidR="00685978" w:rsidRDefault="00000000">
            <w:pPr>
              <w:jc w:val="both"/>
              <w:rPr>
                <w:rFonts w:ascii="Arial Narrow" w:eastAsia="Arial Narrow" w:hAnsi="Arial Narrow" w:cs="Arial Narrow"/>
                <w:i/>
                <w:iCs/>
                <w:color w:val="808080"/>
                <w:sz w:val="22"/>
                <w:szCs w:val="22"/>
              </w:rPr>
            </w:pPr>
            <w:r>
              <w:rPr>
                <w:rFonts w:ascii="Arial Narrow" w:eastAsia="Arial Narrow" w:hAnsi="Arial Narrow" w:cs="Arial Narrow"/>
                <w:i/>
                <w:iCs/>
                <w:color w:val="808080"/>
                <w:sz w:val="22"/>
                <w:szCs w:val="22"/>
              </w:rPr>
              <w:t>(Marque con una x)</w:t>
            </w:r>
          </w:p>
        </w:tc>
      </w:tr>
      <w:tr w:rsidR="00685978" w14:paraId="48EB9075" w14:textId="77777777">
        <w:trPr>
          <w:trHeight w:val="66"/>
        </w:trPr>
        <w:tc>
          <w:tcPr>
            <w:tcW w:w="7665" w:type="dxa"/>
            <w:gridSpan w:val="2"/>
            <w:tcBorders>
              <w:top w:val="single" w:sz="4" w:space="0" w:color="000000"/>
              <w:bottom w:val="single" w:sz="4" w:space="0" w:color="000000"/>
              <w:right w:val="single" w:sz="4" w:space="0" w:color="000000"/>
            </w:tcBorders>
            <w:shd w:val="clear" w:color="auto" w:fill="FFFFFF"/>
            <w:vAlign w:val="center"/>
          </w:tcPr>
          <w:p w14:paraId="5A0083DD" w14:textId="77777777" w:rsidR="00685978" w:rsidRDefault="00000000">
            <w:pPr>
              <w:jc w:val="both"/>
              <w:rPr>
                <w:rFonts w:ascii="Arial Narrow" w:eastAsia="Arial Narrow" w:hAnsi="Arial Narrow" w:cs="Arial Narrow"/>
                <w:sz w:val="22"/>
                <w:szCs w:val="22"/>
              </w:rPr>
            </w:pPr>
            <w:r>
              <w:rPr>
                <w:rFonts w:ascii="Arial Narrow" w:eastAsia="Arial Narrow" w:hAnsi="Arial Narrow" w:cs="Arial Narrow"/>
                <w:sz w:val="22"/>
                <w:szCs w:val="22"/>
              </w:rPr>
              <w:t>Concepto(s) de Ministerio de Comercio, Industria y Turismo</w:t>
            </w:r>
          </w:p>
          <w:p w14:paraId="60CF9917" w14:textId="77777777" w:rsidR="00685978" w:rsidRDefault="00000000">
            <w:pPr>
              <w:jc w:val="both"/>
              <w:rPr>
                <w:rFonts w:ascii="Arial Narrow" w:eastAsia="Arial Narrow" w:hAnsi="Arial Narrow" w:cs="Arial Narrow"/>
                <w:i/>
                <w:iCs/>
                <w:color w:val="808080"/>
                <w:sz w:val="22"/>
                <w:szCs w:val="22"/>
              </w:rPr>
            </w:pPr>
            <w:r>
              <w:rPr>
                <w:rFonts w:ascii="Arial Narrow" w:eastAsia="Arial Narrow" w:hAnsi="Arial Narrow" w:cs="Arial Narrow"/>
                <w:i/>
                <w:iCs/>
                <w:color w:val="808080"/>
              </w:rPr>
              <w:t>(Cuando se trate de un proyecto de reglamento técnico o de procedimientos de evaluación de conformidad)</w:t>
            </w:r>
          </w:p>
        </w:tc>
        <w:tc>
          <w:tcPr>
            <w:tcW w:w="3120" w:type="dxa"/>
            <w:tcBorders>
              <w:top w:val="single" w:sz="4" w:space="0" w:color="000000"/>
              <w:left w:val="single" w:sz="4" w:space="0" w:color="000000"/>
              <w:bottom w:val="single" w:sz="4" w:space="0" w:color="000000"/>
            </w:tcBorders>
            <w:shd w:val="clear" w:color="auto" w:fill="FFFFFF"/>
            <w:vAlign w:val="center"/>
          </w:tcPr>
          <w:p w14:paraId="1730DF19" w14:textId="77777777" w:rsidR="00685978" w:rsidRDefault="00000000">
            <w:pPr>
              <w:jc w:val="both"/>
              <w:rPr>
                <w:rFonts w:ascii="Arial Narrow" w:eastAsia="Arial Narrow" w:hAnsi="Arial Narrow" w:cs="Arial Narrow"/>
                <w:sz w:val="22"/>
                <w:szCs w:val="22"/>
              </w:rPr>
            </w:pPr>
            <w:r>
              <w:rPr>
                <w:rFonts w:ascii="Arial Narrow" w:eastAsia="Arial Narrow" w:hAnsi="Arial Narrow" w:cs="Arial Narrow"/>
                <w:i/>
                <w:iCs/>
                <w:color w:val="808080"/>
                <w:sz w:val="22"/>
                <w:szCs w:val="22"/>
              </w:rPr>
              <w:t>(Marque con una x)</w:t>
            </w:r>
          </w:p>
        </w:tc>
      </w:tr>
      <w:tr w:rsidR="00685978" w14:paraId="11C9D6EB" w14:textId="77777777">
        <w:trPr>
          <w:trHeight w:val="66"/>
        </w:trPr>
        <w:tc>
          <w:tcPr>
            <w:tcW w:w="7665" w:type="dxa"/>
            <w:gridSpan w:val="2"/>
            <w:tcBorders>
              <w:top w:val="single" w:sz="4" w:space="0" w:color="000000"/>
              <w:bottom w:val="single" w:sz="4" w:space="0" w:color="000000"/>
              <w:right w:val="single" w:sz="4" w:space="0" w:color="000000"/>
            </w:tcBorders>
            <w:shd w:val="clear" w:color="auto" w:fill="FFFFFF"/>
            <w:vAlign w:val="center"/>
          </w:tcPr>
          <w:p w14:paraId="1011B232" w14:textId="77777777" w:rsidR="00685978" w:rsidRDefault="00000000">
            <w:pPr>
              <w:jc w:val="both"/>
              <w:rPr>
                <w:rFonts w:ascii="Arial Narrow" w:eastAsia="Arial Narrow" w:hAnsi="Arial Narrow" w:cs="Arial Narrow"/>
                <w:sz w:val="22"/>
                <w:szCs w:val="22"/>
              </w:rPr>
            </w:pPr>
            <w:r>
              <w:rPr>
                <w:rFonts w:ascii="Arial Narrow" w:eastAsia="Arial Narrow" w:hAnsi="Arial Narrow" w:cs="Arial Narrow"/>
                <w:sz w:val="22"/>
                <w:szCs w:val="22"/>
              </w:rPr>
              <w:t xml:space="preserve">Informe de observaciones y respuestas </w:t>
            </w:r>
          </w:p>
          <w:p w14:paraId="11EDEBE7" w14:textId="77777777" w:rsidR="00685978" w:rsidRDefault="00000000">
            <w:pPr>
              <w:jc w:val="both"/>
              <w:rPr>
                <w:rFonts w:ascii="Arial Narrow" w:eastAsia="Arial Narrow" w:hAnsi="Arial Narrow" w:cs="Arial Narrow"/>
                <w:i/>
                <w:iCs/>
                <w:color w:val="808080"/>
                <w:sz w:val="22"/>
                <w:szCs w:val="22"/>
              </w:rPr>
            </w:pPr>
            <w:r>
              <w:rPr>
                <w:rFonts w:ascii="Arial Narrow" w:eastAsia="Arial Narrow" w:hAnsi="Arial Narrow" w:cs="Arial Narrow"/>
                <w:i/>
                <w:iCs/>
                <w:color w:val="808080"/>
              </w:rPr>
              <w:t>(Análisis del informe con la evaluación de las observaciones de los ciudadanos y grupos de interés sobre el proyecto normativo)</w:t>
            </w:r>
          </w:p>
        </w:tc>
        <w:tc>
          <w:tcPr>
            <w:tcW w:w="3120" w:type="dxa"/>
            <w:tcBorders>
              <w:top w:val="single" w:sz="4" w:space="0" w:color="000000"/>
              <w:left w:val="single" w:sz="4" w:space="0" w:color="000000"/>
              <w:bottom w:val="single" w:sz="4" w:space="0" w:color="000000"/>
            </w:tcBorders>
            <w:shd w:val="clear" w:color="auto" w:fill="FFFFFF"/>
            <w:vAlign w:val="center"/>
          </w:tcPr>
          <w:p w14:paraId="6F7FB82F" w14:textId="77777777" w:rsidR="00685978" w:rsidRDefault="00000000">
            <w:pPr>
              <w:jc w:val="both"/>
              <w:rPr>
                <w:rFonts w:ascii="Arial Narrow" w:eastAsia="Arial Narrow" w:hAnsi="Arial Narrow" w:cs="Arial Narrow"/>
                <w:sz w:val="22"/>
                <w:szCs w:val="22"/>
              </w:rPr>
            </w:pPr>
            <w:r>
              <w:rPr>
                <w:rFonts w:ascii="Arial Narrow" w:eastAsia="Arial Narrow" w:hAnsi="Arial Narrow" w:cs="Arial Narrow"/>
                <w:i/>
                <w:iCs/>
                <w:color w:val="808080"/>
                <w:sz w:val="22"/>
                <w:szCs w:val="22"/>
              </w:rPr>
              <w:t>(Marque con una x)</w:t>
            </w:r>
          </w:p>
        </w:tc>
      </w:tr>
      <w:tr w:rsidR="00685978" w14:paraId="55E63D2F" w14:textId="77777777">
        <w:trPr>
          <w:trHeight w:val="66"/>
        </w:trPr>
        <w:tc>
          <w:tcPr>
            <w:tcW w:w="7665" w:type="dxa"/>
            <w:gridSpan w:val="2"/>
            <w:tcBorders>
              <w:top w:val="single" w:sz="4" w:space="0" w:color="000000"/>
              <w:bottom w:val="single" w:sz="4" w:space="0" w:color="000000"/>
              <w:right w:val="single" w:sz="4" w:space="0" w:color="000000"/>
            </w:tcBorders>
            <w:shd w:val="clear" w:color="auto" w:fill="FFFFFF"/>
            <w:vAlign w:val="center"/>
          </w:tcPr>
          <w:p w14:paraId="0746A1F5" w14:textId="77777777" w:rsidR="00685978" w:rsidRDefault="00000000">
            <w:pPr>
              <w:jc w:val="both"/>
              <w:rPr>
                <w:rFonts w:ascii="Arial Narrow" w:eastAsia="Arial Narrow" w:hAnsi="Arial Narrow" w:cs="Arial Narrow"/>
                <w:sz w:val="22"/>
                <w:szCs w:val="22"/>
              </w:rPr>
            </w:pPr>
            <w:r>
              <w:rPr>
                <w:rFonts w:ascii="Arial Narrow" w:eastAsia="Arial Narrow" w:hAnsi="Arial Narrow" w:cs="Arial Narrow"/>
                <w:sz w:val="22"/>
                <w:szCs w:val="22"/>
              </w:rPr>
              <w:t>Concepto de Abogacía de la Competencia de la Superintendencia de Industria y Comercio</w:t>
            </w:r>
          </w:p>
          <w:p w14:paraId="3BBFEA67" w14:textId="77777777" w:rsidR="00685978" w:rsidRDefault="00000000">
            <w:pPr>
              <w:jc w:val="both"/>
              <w:rPr>
                <w:rFonts w:ascii="Arial Narrow" w:eastAsia="Arial Narrow" w:hAnsi="Arial Narrow" w:cs="Arial Narrow"/>
                <w:i/>
                <w:iCs/>
                <w:color w:val="808080"/>
                <w:sz w:val="22"/>
                <w:szCs w:val="22"/>
              </w:rPr>
            </w:pPr>
            <w:r>
              <w:rPr>
                <w:rFonts w:ascii="Arial Narrow" w:eastAsia="Arial Narrow" w:hAnsi="Arial Narrow" w:cs="Arial Narrow"/>
                <w:i/>
                <w:iCs/>
                <w:color w:val="808080"/>
              </w:rPr>
              <w:t>(Cuando los proyectos normativos tengan incidencia en la libre competencia de los mercados)</w:t>
            </w:r>
          </w:p>
        </w:tc>
        <w:tc>
          <w:tcPr>
            <w:tcW w:w="3120" w:type="dxa"/>
            <w:tcBorders>
              <w:top w:val="single" w:sz="4" w:space="0" w:color="000000"/>
              <w:left w:val="single" w:sz="4" w:space="0" w:color="000000"/>
              <w:bottom w:val="single" w:sz="4" w:space="0" w:color="000000"/>
            </w:tcBorders>
            <w:shd w:val="clear" w:color="auto" w:fill="FFFFFF"/>
            <w:vAlign w:val="center"/>
          </w:tcPr>
          <w:p w14:paraId="4C904650" w14:textId="77777777" w:rsidR="00685978" w:rsidRDefault="00000000">
            <w:pPr>
              <w:jc w:val="both"/>
              <w:rPr>
                <w:rFonts w:ascii="Arial Narrow" w:eastAsia="Arial Narrow" w:hAnsi="Arial Narrow" w:cs="Arial Narrow"/>
                <w:sz w:val="22"/>
                <w:szCs w:val="22"/>
              </w:rPr>
            </w:pPr>
            <w:r>
              <w:rPr>
                <w:rFonts w:ascii="Arial Narrow" w:eastAsia="Arial Narrow" w:hAnsi="Arial Narrow" w:cs="Arial Narrow"/>
                <w:i/>
                <w:iCs/>
                <w:color w:val="808080"/>
                <w:sz w:val="22"/>
                <w:szCs w:val="22"/>
              </w:rPr>
              <w:t>(Marque con una x)</w:t>
            </w:r>
          </w:p>
        </w:tc>
      </w:tr>
      <w:tr w:rsidR="00685978" w14:paraId="74BA9905" w14:textId="77777777">
        <w:trPr>
          <w:trHeight w:val="66"/>
        </w:trPr>
        <w:tc>
          <w:tcPr>
            <w:tcW w:w="7665" w:type="dxa"/>
            <w:gridSpan w:val="2"/>
            <w:tcBorders>
              <w:top w:val="single" w:sz="4" w:space="0" w:color="000000"/>
              <w:bottom w:val="single" w:sz="4" w:space="0" w:color="000000"/>
              <w:right w:val="single" w:sz="4" w:space="0" w:color="000000"/>
            </w:tcBorders>
            <w:shd w:val="clear" w:color="auto" w:fill="FFFFFF"/>
            <w:vAlign w:val="center"/>
          </w:tcPr>
          <w:p w14:paraId="7CC610E8" w14:textId="77777777" w:rsidR="00685978" w:rsidRDefault="00000000">
            <w:pPr>
              <w:jc w:val="both"/>
              <w:rPr>
                <w:rFonts w:ascii="Arial Narrow" w:eastAsia="Arial Narrow" w:hAnsi="Arial Narrow" w:cs="Arial Narrow"/>
                <w:sz w:val="22"/>
                <w:szCs w:val="22"/>
              </w:rPr>
            </w:pPr>
            <w:r>
              <w:rPr>
                <w:rFonts w:ascii="Arial Narrow" w:eastAsia="Arial Narrow" w:hAnsi="Arial Narrow" w:cs="Arial Narrow"/>
                <w:sz w:val="22"/>
                <w:szCs w:val="22"/>
              </w:rPr>
              <w:t>Concepto de aprobación nuevos trámites del Departamento Administrativo de la Función Pública</w:t>
            </w:r>
          </w:p>
          <w:p w14:paraId="55839681" w14:textId="77777777" w:rsidR="00685978" w:rsidRDefault="00000000">
            <w:pPr>
              <w:jc w:val="both"/>
              <w:rPr>
                <w:rFonts w:ascii="Arial Narrow" w:eastAsia="Arial Narrow" w:hAnsi="Arial Narrow" w:cs="Arial Narrow"/>
                <w:sz w:val="22"/>
                <w:szCs w:val="22"/>
              </w:rPr>
            </w:pPr>
            <w:r>
              <w:rPr>
                <w:rFonts w:ascii="Arial Narrow" w:eastAsia="Arial Narrow" w:hAnsi="Arial Narrow" w:cs="Arial Narrow"/>
                <w:i/>
                <w:iCs/>
                <w:color w:val="808080"/>
              </w:rPr>
              <w:t>(Cuando el proyecto normativo adopte o modifique un trámite)</w:t>
            </w:r>
          </w:p>
        </w:tc>
        <w:tc>
          <w:tcPr>
            <w:tcW w:w="3120" w:type="dxa"/>
            <w:tcBorders>
              <w:top w:val="single" w:sz="4" w:space="0" w:color="000000"/>
              <w:left w:val="single" w:sz="4" w:space="0" w:color="000000"/>
              <w:bottom w:val="single" w:sz="4" w:space="0" w:color="000000"/>
            </w:tcBorders>
            <w:shd w:val="clear" w:color="auto" w:fill="FFFFFF"/>
            <w:vAlign w:val="center"/>
          </w:tcPr>
          <w:p w14:paraId="3431C761" w14:textId="77777777" w:rsidR="00685978" w:rsidRDefault="00000000">
            <w:pPr>
              <w:jc w:val="both"/>
              <w:rPr>
                <w:rFonts w:ascii="Arial Narrow" w:eastAsia="Arial Narrow" w:hAnsi="Arial Narrow" w:cs="Arial Narrow"/>
                <w:sz w:val="22"/>
                <w:szCs w:val="22"/>
              </w:rPr>
            </w:pPr>
            <w:r>
              <w:rPr>
                <w:rFonts w:ascii="Arial Narrow" w:eastAsia="Arial Narrow" w:hAnsi="Arial Narrow" w:cs="Arial Narrow"/>
                <w:i/>
                <w:iCs/>
                <w:color w:val="808080"/>
                <w:sz w:val="22"/>
                <w:szCs w:val="22"/>
              </w:rPr>
              <w:t>(Marque con una x)</w:t>
            </w:r>
          </w:p>
        </w:tc>
      </w:tr>
      <w:tr w:rsidR="00685978" w14:paraId="5D007C3A" w14:textId="77777777">
        <w:trPr>
          <w:trHeight w:val="66"/>
        </w:trPr>
        <w:tc>
          <w:tcPr>
            <w:tcW w:w="7665" w:type="dxa"/>
            <w:gridSpan w:val="2"/>
            <w:tcBorders>
              <w:top w:val="single" w:sz="4" w:space="0" w:color="000000"/>
              <w:bottom w:val="single" w:sz="4" w:space="0" w:color="000000"/>
              <w:right w:val="single" w:sz="4" w:space="0" w:color="000000"/>
            </w:tcBorders>
            <w:shd w:val="clear" w:color="auto" w:fill="FFFFFF"/>
            <w:vAlign w:val="center"/>
          </w:tcPr>
          <w:p w14:paraId="358D4B47" w14:textId="77777777" w:rsidR="00685978" w:rsidRDefault="00000000">
            <w:pPr>
              <w:jc w:val="both"/>
              <w:rPr>
                <w:rFonts w:ascii="Arial Narrow" w:eastAsia="Arial Narrow" w:hAnsi="Arial Narrow" w:cs="Arial Narrow"/>
                <w:sz w:val="22"/>
                <w:szCs w:val="22"/>
              </w:rPr>
            </w:pPr>
            <w:r>
              <w:rPr>
                <w:rFonts w:ascii="Arial Narrow" w:eastAsia="Arial Narrow" w:hAnsi="Arial Narrow" w:cs="Arial Narrow"/>
                <w:sz w:val="22"/>
                <w:szCs w:val="22"/>
              </w:rPr>
              <w:t xml:space="preserve">Otro </w:t>
            </w:r>
          </w:p>
          <w:p w14:paraId="088DC361" w14:textId="77777777" w:rsidR="00685978" w:rsidRDefault="00000000">
            <w:pPr>
              <w:jc w:val="both"/>
              <w:rPr>
                <w:rFonts w:ascii="Arial Narrow" w:eastAsia="Arial Narrow" w:hAnsi="Arial Narrow" w:cs="Arial Narrow"/>
                <w:sz w:val="22"/>
                <w:szCs w:val="22"/>
              </w:rPr>
            </w:pPr>
            <w:r>
              <w:rPr>
                <w:rFonts w:ascii="Arial Narrow" w:eastAsia="Arial Narrow" w:hAnsi="Arial Narrow" w:cs="Arial Narrow"/>
                <w:i/>
                <w:iCs/>
                <w:color w:val="808080"/>
              </w:rPr>
              <w:t>(Cualquier otro aspecto que la entidad originadora de la norma considere relevante o de importancia)</w:t>
            </w:r>
          </w:p>
        </w:tc>
        <w:tc>
          <w:tcPr>
            <w:tcW w:w="3120" w:type="dxa"/>
            <w:tcBorders>
              <w:top w:val="single" w:sz="4" w:space="0" w:color="000000"/>
              <w:left w:val="single" w:sz="4" w:space="0" w:color="000000"/>
              <w:bottom w:val="single" w:sz="4" w:space="0" w:color="000000"/>
            </w:tcBorders>
            <w:shd w:val="clear" w:color="auto" w:fill="FFFFFF"/>
            <w:vAlign w:val="center"/>
          </w:tcPr>
          <w:p w14:paraId="418D18E2" w14:textId="77777777" w:rsidR="00685978" w:rsidRDefault="00000000">
            <w:pPr>
              <w:jc w:val="both"/>
              <w:rPr>
                <w:rFonts w:ascii="Arial Narrow" w:eastAsia="Arial Narrow" w:hAnsi="Arial Narrow" w:cs="Arial Narrow"/>
                <w:sz w:val="22"/>
                <w:szCs w:val="22"/>
              </w:rPr>
            </w:pPr>
            <w:r>
              <w:rPr>
                <w:rFonts w:ascii="Arial Narrow" w:eastAsia="Arial Narrow" w:hAnsi="Arial Narrow" w:cs="Arial Narrow"/>
                <w:i/>
                <w:iCs/>
                <w:color w:val="808080"/>
                <w:sz w:val="22"/>
                <w:szCs w:val="22"/>
              </w:rPr>
              <w:t>(Marque con una x)</w:t>
            </w:r>
          </w:p>
        </w:tc>
      </w:tr>
    </w:tbl>
    <w:p w14:paraId="76AAAD03" w14:textId="77777777" w:rsidR="00685978" w:rsidRDefault="00685978">
      <w:pPr>
        <w:ind w:right="-377"/>
        <w:jc w:val="both"/>
        <w:rPr>
          <w:rFonts w:ascii="Arial Narrow" w:eastAsia="Arial Narrow" w:hAnsi="Arial Narrow" w:cs="Arial Narrow"/>
          <w:sz w:val="22"/>
          <w:szCs w:val="22"/>
        </w:rPr>
      </w:pPr>
    </w:p>
    <w:p w14:paraId="0CBC342B" w14:textId="77777777" w:rsidR="00685978" w:rsidRDefault="00000000">
      <w:pPr>
        <w:ind w:left="-1276" w:right="-377" w:firstLine="283"/>
        <w:jc w:val="both"/>
        <w:rPr>
          <w:rFonts w:ascii="Arial Narrow" w:eastAsia="Arial Narrow" w:hAnsi="Arial Narrow" w:cs="Arial Narrow"/>
          <w:b/>
          <w:bCs/>
          <w:sz w:val="22"/>
          <w:szCs w:val="22"/>
        </w:rPr>
      </w:pPr>
      <w:r>
        <w:rPr>
          <w:rFonts w:ascii="Arial Narrow" w:eastAsia="Arial Narrow" w:hAnsi="Arial Narrow" w:cs="Arial Narrow"/>
          <w:b/>
          <w:bCs/>
          <w:sz w:val="22"/>
          <w:szCs w:val="22"/>
        </w:rPr>
        <w:t>Aprobó:</w:t>
      </w:r>
    </w:p>
    <w:p w14:paraId="2B2A14A3" w14:textId="77777777" w:rsidR="00685978" w:rsidRDefault="00685978">
      <w:pPr>
        <w:ind w:right="-377"/>
        <w:jc w:val="both"/>
        <w:rPr>
          <w:rFonts w:ascii="Arial Narrow" w:eastAsia="Arial Narrow" w:hAnsi="Arial Narrow" w:cs="Arial Narrow"/>
          <w:sz w:val="22"/>
          <w:szCs w:val="22"/>
        </w:rPr>
      </w:pPr>
    </w:p>
    <w:p w14:paraId="086681D7" w14:textId="77777777" w:rsidR="00685978" w:rsidRDefault="00685978">
      <w:pPr>
        <w:ind w:right="-377"/>
        <w:jc w:val="center"/>
        <w:rPr>
          <w:rFonts w:ascii="Arial Narrow" w:eastAsia="Arial Narrow" w:hAnsi="Arial Narrow" w:cs="Arial Narrow"/>
          <w:sz w:val="22"/>
          <w:szCs w:val="22"/>
        </w:rPr>
      </w:pPr>
    </w:p>
    <w:p w14:paraId="5F8FD9AA" w14:textId="77777777" w:rsidR="00685978" w:rsidRDefault="00000000">
      <w:pPr>
        <w:pBdr>
          <w:top w:val="nil"/>
          <w:left w:val="nil"/>
          <w:bottom w:val="nil"/>
          <w:right w:val="nil"/>
          <w:between w:val="nil"/>
        </w:pBdr>
        <w:spacing w:line="276" w:lineRule="auto"/>
        <w:ind w:left="-993"/>
        <w:jc w:val="center"/>
        <w:rPr>
          <w:rFonts w:ascii="Arial Narrow" w:eastAsia="Arial Narrow" w:hAnsi="Arial Narrow" w:cs="Arial Narrow"/>
          <w:b/>
          <w:bCs/>
          <w:color w:val="000000"/>
          <w:sz w:val="22"/>
          <w:szCs w:val="22"/>
        </w:rPr>
      </w:pPr>
      <w:r>
        <w:rPr>
          <w:rFonts w:ascii="Arial Narrow" w:eastAsia="Arial Narrow" w:hAnsi="Arial Narrow" w:cs="Arial Narrow"/>
          <w:b/>
          <w:bCs/>
          <w:color w:val="000000"/>
          <w:sz w:val="22"/>
          <w:szCs w:val="22"/>
        </w:rPr>
        <w:t>_______________________________________________________________________</w:t>
      </w:r>
    </w:p>
    <w:p w14:paraId="2C9E3051" w14:textId="77777777" w:rsidR="00685978" w:rsidRDefault="00000000">
      <w:pPr>
        <w:pBdr>
          <w:top w:val="nil"/>
          <w:left w:val="nil"/>
          <w:bottom w:val="nil"/>
          <w:right w:val="nil"/>
          <w:between w:val="nil"/>
        </w:pBdr>
        <w:spacing w:line="276" w:lineRule="auto"/>
        <w:ind w:left="-993"/>
        <w:jc w:val="center"/>
        <w:rPr>
          <w:rFonts w:ascii="Arial Narrow" w:eastAsia="Arial Narrow" w:hAnsi="Arial Narrow" w:cs="Arial Narrow"/>
          <w:b/>
          <w:bCs/>
          <w:color w:val="000000"/>
          <w:sz w:val="22"/>
          <w:szCs w:val="22"/>
        </w:rPr>
      </w:pPr>
      <w:r>
        <w:rPr>
          <w:rFonts w:ascii="Arial Narrow" w:eastAsia="Arial Narrow" w:hAnsi="Arial Narrow" w:cs="Arial Narrow"/>
          <w:b/>
          <w:bCs/>
          <w:color w:val="000000"/>
          <w:sz w:val="22"/>
          <w:szCs w:val="22"/>
        </w:rPr>
        <w:t>Nombre y firma del Jefe de la Oficina Jurídica entidad originadora o dependencia que haga sus veces</w:t>
      </w:r>
    </w:p>
    <w:p w14:paraId="4BB059EF" w14:textId="77777777" w:rsidR="00685978" w:rsidRDefault="00685978">
      <w:pPr>
        <w:pBdr>
          <w:top w:val="nil"/>
          <w:left w:val="nil"/>
          <w:bottom w:val="nil"/>
          <w:right w:val="nil"/>
          <w:between w:val="nil"/>
        </w:pBdr>
        <w:spacing w:line="276" w:lineRule="auto"/>
        <w:ind w:left="-993"/>
        <w:jc w:val="center"/>
        <w:rPr>
          <w:rFonts w:ascii="Arial Narrow" w:eastAsia="Arial Narrow" w:hAnsi="Arial Narrow" w:cs="Arial Narrow"/>
          <w:b/>
          <w:bCs/>
          <w:color w:val="000000"/>
          <w:sz w:val="22"/>
          <w:szCs w:val="22"/>
        </w:rPr>
      </w:pPr>
    </w:p>
    <w:p w14:paraId="4776FCBE" w14:textId="77777777" w:rsidR="00685978" w:rsidRDefault="00685978">
      <w:pPr>
        <w:pBdr>
          <w:top w:val="nil"/>
          <w:left w:val="nil"/>
          <w:bottom w:val="nil"/>
          <w:right w:val="nil"/>
          <w:between w:val="nil"/>
        </w:pBdr>
        <w:spacing w:line="276" w:lineRule="auto"/>
        <w:ind w:left="-993"/>
        <w:jc w:val="center"/>
        <w:rPr>
          <w:rFonts w:ascii="Arial Narrow" w:eastAsia="Arial Narrow" w:hAnsi="Arial Narrow" w:cs="Arial Narrow"/>
          <w:b/>
          <w:bCs/>
          <w:color w:val="000000"/>
          <w:sz w:val="22"/>
          <w:szCs w:val="22"/>
        </w:rPr>
      </w:pPr>
    </w:p>
    <w:p w14:paraId="3ACAD379" w14:textId="77777777" w:rsidR="00685978" w:rsidRDefault="00000000">
      <w:pPr>
        <w:pBdr>
          <w:top w:val="nil"/>
          <w:left w:val="nil"/>
          <w:bottom w:val="nil"/>
          <w:right w:val="nil"/>
          <w:between w:val="nil"/>
        </w:pBdr>
        <w:spacing w:line="276" w:lineRule="auto"/>
        <w:ind w:left="-993"/>
        <w:jc w:val="center"/>
        <w:rPr>
          <w:rFonts w:ascii="Arial Narrow" w:eastAsia="Arial Narrow" w:hAnsi="Arial Narrow" w:cs="Arial Narrow"/>
          <w:b/>
          <w:bCs/>
          <w:color w:val="000000"/>
          <w:sz w:val="22"/>
          <w:szCs w:val="22"/>
        </w:rPr>
      </w:pPr>
      <w:r>
        <w:rPr>
          <w:rFonts w:ascii="Arial Narrow" w:eastAsia="Arial Narrow" w:hAnsi="Arial Narrow" w:cs="Arial Narrow"/>
          <w:b/>
          <w:bCs/>
          <w:color w:val="000000"/>
          <w:sz w:val="22"/>
          <w:szCs w:val="22"/>
        </w:rPr>
        <w:t>_______________________________________________________________________</w:t>
      </w:r>
    </w:p>
    <w:p w14:paraId="121FA99E" w14:textId="77777777" w:rsidR="00685978" w:rsidRDefault="00000000">
      <w:pPr>
        <w:pBdr>
          <w:top w:val="nil"/>
          <w:left w:val="nil"/>
          <w:bottom w:val="nil"/>
          <w:right w:val="nil"/>
          <w:between w:val="nil"/>
        </w:pBdr>
        <w:spacing w:line="276" w:lineRule="auto"/>
        <w:ind w:left="-993"/>
        <w:jc w:val="center"/>
        <w:rPr>
          <w:rFonts w:ascii="Arial Narrow" w:eastAsia="Arial Narrow" w:hAnsi="Arial Narrow" w:cs="Arial Narrow"/>
          <w:b/>
          <w:bCs/>
          <w:color w:val="000000"/>
          <w:sz w:val="22"/>
          <w:szCs w:val="22"/>
        </w:rPr>
      </w:pPr>
      <w:r>
        <w:rPr>
          <w:rFonts w:ascii="Arial Narrow" w:eastAsia="Arial Narrow" w:hAnsi="Arial Narrow" w:cs="Arial Narrow"/>
          <w:b/>
          <w:bCs/>
          <w:color w:val="000000"/>
          <w:sz w:val="22"/>
          <w:szCs w:val="22"/>
        </w:rPr>
        <w:t>Nombre y firma del (los) servidor(es) público(s) responsables en la entidad cabeza del sector administrativo que lidera el proyecto normativo (área(s) misional(es))</w:t>
      </w:r>
    </w:p>
    <w:p w14:paraId="63BAD203" w14:textId="77777777" w:rsidR="00685978" w:rsidRDefault="00685978">
      <w:pPr>
        <w:pBdr>
          <w:top w:val="nil"/>
          <w:left w:val="nil"/>
          <w:bottom w:val="nil"/>
          <w:right w:val="nil"/>
          <w:between w:val="nil"/>
        </w:pBdr>
        <w:spacing w:line="276" w:lineRule="auto"/>
        <w:ind w:left="-993"/>
        <w:jc w:val="center"/>
        <w:rPr>
          <w:rFonts w:ascii="Arial Narrow" w:eastAsia="Arial Narrow" w:hAnsi="Arial Narrow" w:cs="Arial Narrow"/>
          <w:b/>
          <w:bCs/>
          <w:color w:val="000000"/>
          <w:sz w:val="22"/>
          <w:szCs w:val="22"/>
        </w:rPr>
      </w:pPr>
    </w:p>
    <w:p w14:paraId="11179F19" w14:textId="77777777" w:rsidR="00685978" w:rsidRDefault="00685978">
      <w:pPr>
        <w:pBdr>
          <w:top w:val="nil"/>
          <w:left w:val="nil"/>
          <w:bottom w:val="nil"/>
          <w:right w:val="nil"/>
          <w:between w:val="nil"/>
        </w:pBdr>
        <w:spacing w:line="276" w:lineRule="auto"/>
        <w:ind w:left="-993"/>
        <w:jc w:val="center"/>
        <w:rPr>
          <w:rFonts w:ascii="Arial Narrow" w:eastAsia="Arial Narrow" w:hAnsi="Arial Narrow" w:cs="Arial Narrow"/>
          <w:b/>
          <w:bCs/>
          <w:color w:val="000000"/>
          <w:sz w:val="22"/>
          <w:szCs w:val="22"/>
        </w:rPr>
      </w:pPr>
    </w:p>
    <w:p w14:paraId="523F4C09" w14:textId="77777777" w:rsidR="00685978" w:rsidRDefault="00685978">
      <w:pPr>
        <w:pBdr>
          <w:top w:val="nil"/>
          <w:left w:val="nil"/>
          <w:bottom w:val="nil"/>
          <w:right w:val="nil"/>
          <w:between w:val="nil"/>
        </w:pBdr>
        <w:spacing w:line="276" w:lineRule="auto"/>
        <w:ind w:left="-993"/>
        <w:jc w:val="center"/>
        <w:rPr>
          <w:rFonts w:ascii="Arial Narrow" w:eastAsia="Arial Narrow" w:hAnsi="Arial Narrow" w:cs="Arial Narrow"/>
          <w:b/>
          <w:bCs/>
          <w:color w:val="000000"/>
          <w:sz w:val="22"/>
          <w:szCs w:val="22"/>
        </w:rPr>
      </w:pPr>
    </w:p>
    <w:p w14:paraId="6154D9D2" w14:textId="77777777" w:rsidR="00685978" w:rsidRDefault="00000000">
      <w:pPr>
        <w:pBdr>
          <w:top w:val="nil"/>
          <w:left w:val="nil"/>
          <w:bottom w:val="nil"/>
          <w:right w:val="nil"/>
          <w:between w:val="nil"/>
        </w:pBdr>
        <w:spacing w:line="276" w:lineRule="auto"/>
        <w:ind w:left="-993"/>
        <w:jc w:val="center"/>
        <w:rPr>
          <w:rFonts w:ascii="Arial Narrow" w:eastAsia="Arial Narrow" w:hAnsi="Arial Narrow" w:cs="Arial Narrow"/>
          <w:b/>
          <w:bCs/>
          <w:color w:val="000000"/>
          <w:sz w:val="22"/>
          <w:szCs w:val="22"/>
        </w:rPr>
      </w:pPr>
      <w:r>
        <w:rPr>
          <w:rFonts w:ascii="Arial Narrow" w:eastAsia="Arial Narrow" w:hAnsi="Arial Narrow" w:cs="Arial Narrow"/>
          <w:b/>
          <w:bCs/>
          <w:color w:val="000000"/>
          <w:sz w:val="22"/>
          <w:szCs w:val="22"/>
        </w:rPr>
        <w:t>_______________________________________________________________________</w:t>
      </w:r>
    </w:p>
    <w:p w14:paraId="0F35445A" w14:textId="77777777" w:rsidR="00685978" w:rsidRDefault="00000000">
      <w:pPr>
        <w:pBdr>
          <w:top w:val="nil"/>
          <w:left w:val="nil"/>
          <w:bottom w:val="nil"/>
          <w:right w:val="nil"/>
          <w:between w:val="nil"/>
        </w:pBdr>
        <w:spacing w:after="200" w:line="276" w:lineRule="auto"/>
        <w:ind w:left="-993"/>
        <w:jc w:val="center"/>
        <w:rPr>
          <w:rFonts w:ascii="Arial Narrow" w:eastAsia="Arial Narrow" w:hAnsi="Arial Narrow" w:cs="Arial Narrow"/>
          <w:b/>
          <w:bCs/>
          <w:color w:val="000000"/>
          <w:sz w:val="22"/>
          <w:szCs w:val="22"/>
        </w:rPr>
      </w:pPr>
      <w:r>
        <w:rPr>
          <w:rFonts w:ascii="Arial Narrow" w:eastAsia="Arial Narrow" w:hAnsi="Arial Narrow" w:cs="Arial Narrow"/>
          <w:b/>
          <w:bCs/>
          <w:color w:val="000000"/>
          <w:sz w:val="22"/>
          <w:szCs w:val="22"/>
        </w:rPr>
        <w:t>Nombre y firma del (los) servidor(es) público(s) responsables de otras entidades</w:t>
      </w:r>
      <w:r>
        <w:rPr>
          <w:rFonts w:ascii="Arial Narrow" w:eastAsia="Arial Narrow" w:hAnsi="Arial Narrow" w:cs="Arial Narrow"/>
          <w:color w:val="000000"/>
          <w:sz w:val="22"/>
          <w:szCs w:val="22"/>
        </w:rPr>
        <w:t xml:space="preserve"> </w:t>
      </w:r>
      <w:r>
        <w:rPr>
          <w:rFonts w:ascii="Arial Narrow" w:eastAsia="Arial Narrow" w:hAnsi="Arial Narrow" w:cs="Arial Narrow"/>
          <w:b/>
          <w:bCs/>
          <w:color w:val="000000"/>
          <w:sz w:val="22"/>
          <w:szCs w:val="22"/>
        </w:rPr>
        <w:t>(área(s) misional(es))</w:t>
      </w:r>
    </w:p>
    <w:sectPr w:rsidR="00685978">
      <w:headerReference w:type="even" r:id="rId8"/>
      <w:headerReference w:type="default" r:id="rId9"/>
      <w:footerReference w:type="default" r:id="rId10"/>
      <w:headerReference w:type="first" r:id="rId11"/>
      <w:footerReference w:type="first" r:id="rId12"/>
      <w:pgSz w:w="12240" w:h="15840"/>
      <w:pgMar w:top="1616" w:right="616" w:bottom="1115" w:left="1701" w:header="624" w:footer="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4206D93" w14:textId="77777777" w:rsidR="00365BD4" w:rsidRDefault="00365BD4">
      <w:r>
        <w:separator/>
      </w:r>
    </w:p>
  </w:endnote>
  <w:endnote w:type="continuationSeparator" w:id="0">
    <w:p w14:paraId="1F8D4DF5" w14:textId="77777777" w:rsidR="00365BD4" w:rsidRDefault="00365BD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embedRegular r:id="rId1" w:fontKey="{69CF8400-595A-B148-9136-826DAE3B0E32}"/>
  </w:font>
  <w:font w:name="Arial">
    <w:panose1 w:val="020B0604020202020204"/>
    <w:charset w:val="00"/>
    <w:family w:val="swiss"/>
    <w:pitch w:val="variable"/>
    <w:sig w:usb0="E0002AFF" w:usb1="C0007843" w:usb2="00000009" w:usb3="00000000" w:csb0="000001FF" w:csb1="00000000"/>
    <w:embedRegular r:id="rId2" w:fontKey="{40BF4326-AE72-8F47-8426-901531B922C8}"/>
    <w:embedBold r:id="rId3" w:fontKey="{23F6F24E-28B3-4A48-8E14-EE13C62EECC6}"/>
  </w:font>
  <w:font w:name="Tahoma">
    <w:panose1 w:val="020B0604030504040204"/>
    <w:charset w:val="00"/>
    <w:family w:val="swiss"/>
    <w:pitch w:val="variable"/>
    <w:sig w:usb0="E1002EFF" w:usb1="C000605B" w:usb2="00000029" w:usb3="00000000" w:csb0="000101FF" w:csb1="00000000"/>
    <w:embedBold r:id="rId4" w:fontKey="{6BF25A15-2D8D-B646-BA2C-3CBB09E6DB7C}"/>
  </w:font>
  <w:font w:name="Georgia">
    <w:panose1 w:val="02040502050405020303"/>
    <w:charset w:val="00"/>
    <w:family w:val="roman"/>
    <w:pitch w:val="variable"/>
    <w:sig w:usb0="00000287" w:usb1="00000000" w:usb2="00000000" w:usb3="00000000" w:csb0="0000009F" w:csb1="00000000"/>
    <w:embedItalic r:id="rId5" w:fontKey="{F2941736-4757-5E4D-9D0E-DD0ABACADC4B}"/>
  </w:font>
  <w:font w:name="Arial Narrow">
    <w:panose1 w:val="020B0606020202030204"/>
    <w:charset w:val="00"/>
    <w:family w:val="swiss"/>
    <w:pitch w:val="variable"/>
    <w:sig w:usb0="00000287" w:usb1="00000800" w:usb2="00000000" w:usb3="00000000" w:csb0="0000009F" w:csb1="00000000"/>
    <w:embedRegular r:id="rId6" w:fontKey="{773664D8-804C-C449-AC73-8C785FA6D6BB}"/>
    <w:embedBold r:id="rId7" w:fontKey="{5111D8B8-97BA-584D-9C69-D8E90050D872}"/>
    <w:embedItalic r:id="rId8" w:fontKey="{1C6AC5BA-873B-924B-80B7-039DD814E8E5}"/>
  </w:font>
  <w:font w:name="Calibri">
    <w:panose1 w:val="020F0502020204030204"/>
    <w:charset w:val="00"/>
    <w:family w:val="swiss"/>
    <w:pitch w:val="variable"/>
    <w:sig w:usb0="E0002AFF" w:usb1="C000247B" w:usb2="00000009" w:usb3="00000000" w:csb0="000001FF" w:csb1="00000000"/>
    <w:embedRegular r:id="rId9" w:fontKey="{DF1DE21D-1B27-DB40-A135-01DAF743DBED}"/>
  </w:font>
  <w:font w:name="Cambria">
    <w:panose1 w:val="02040503050406030204"/>
    <w:charset w:val="00"/>
    <w:family w:val="roman"/>
    <w:pitch w:val="variable"/>
    <w:sig w:usb0="E00002FF" w:usb1="400004FF" w:usb2="00000000" w:usb3="00000000" w:csb0="0000019F" w:csb1="00000000"/>
    <w:embedRegular r:id="rId10" w:fontKey="{F066CBD5-F32D-D345-81AA-A585AA3C0571}"/>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9622BF6" w14:textId="77777777" w:rsidR="00685978" w:rsidRDefault="00000000">
    <w:pPr>
      <w:pBdr>
        <w:top w:val="nil"/>
        <w:left w:val="nil"/>
        <w:bottom w:val="nil"/>
        <w:right w:val="nil"/>
        <w:between w:val="nil"/>
      </w:pBdr>
      <w:tabs>
        <w:tab w:val="center" w:pos="4252"/>
        <w:tab w:val="right" w:pos="8504"/>
        <w:tab w:val="left" w:pos="3555"/>
      </w:tabs>
      <w:ind w:left="-993"/>
      <w:rPr>
        <w:rFonts w:ascii="Arial Narrow" w:eastAsia="Arial Narrow" w:hAnsi="Arial Narrow" w:cs="Arial Narrow"/>
        <w:color w:val="7F7F7F"/>
        <w:sz w:val="18"/>
        <w:szCs w:val="18"/>
      </w:rPr>
    </w:pPr>
    <w:bookmarkStart w:id="2" w:name="_heading=h.i22mlas2im2e" w:colFirst="0" w:colLast="0"/>
    <w:bookmarkEnd w:id="2"/>
    <w:r>
      <w:rPr>
        <w:rFonts w:ascii="Arial Narrow" w:eastAsia="Arial Narrow" w:hAnsi="Arial Narrow" w:cs="Arial Narrow"/>
        <w:color w:val="7F7F7F"/>
        <w:sz w:val="18"/>
        <w:szCs w:val="18"/>
      </w:rPr>
      <w:t>Formato tomado del Departamento Administrativo de la Función Pública a partir de lo reglamentado por medio del Decreto 1273 de 2020 y la Resolución 371 de 2020.</w:t>
    </w:r>
    <w:r>
      <w:rPr>
        <w:rFonts w:ascii="Arial Narrow" w:eastAsia="Arial Narrow" w:hAnsi="Arial Narrow" w:cs="Arial Narrow"/>
        <w:color w:val="7F7F7F"/>
        <w:sz w:val="18"/>
        <w:szCs w:val="18"/>
      </w:rPr>
      <w:tab/>
      <w:t xml:space="preserve">                               </w:t>
    </w:r>
  </w:p>
  <w:p w14:paraId="663D3D41" w14:textId="77777777" w:rsidR="00685978" w:rsidRDefault="00000000">
    <w:pPr>
      <w:pBdr>
        <w:top w:val="nil"/>
        <w:left w:val="nil"/>
        <w:bottom w:val="nil"/>
        <w:right w:val="nil"/>
        <w:between w:val="nil"/>
      </w:pBdr>
      <w:tabs>
        <w:tab w:val="center" w:pos="4252"/>
        <w:tab w:val="right" w:pos="8504"/>
        <w:tab w:val="left" w:pos="3555"/>
      </w:tabs>
      <w:ind w:left="-993"/>
      <w:rPr>
        <w:color w:val="000000"/>
        <w:sz w:val="18"/>
        <w:szCs w:val="18"/>
      </w:rPr>
    </w:pPr>
    <w:r>
      <w:rPr>
        <w:color w:val="000000"/>
        <w:sz w:val="18"/>
        <w:szCs w:val="18"/>
      </w:rPr>
      <w:t xml:space="preserve">Calle 37 No. 8 – 40 </w:t>
    </w:r>
  </w:p>
  <w:p w14:paraId="5663CBFD" w14:textId="77777777" w:rsidR="00685978" w:rsidRDefault="00000000">
    <w:pPr>
      <w:pBdr>
        <w:top w:val="nil"/>
        <w:left w:val="nil"/>
        <w:bottom w:val="nil"/>
        <w:right w:val="nil"/>
        <w:between w:val="nil"/>
      </w:pBdr>
      <w:tabs>
        <w:tab w:val="center" w:pos="4252"/>
        <w:tab w:val="right" w:pos="8504"/>
        <w:tab w:val="left" w:pos="3555"/>
      </w:tabs>
      <w:ind w:left="-993"/>
      <w:rPr>
        <w:color w:val="000000"/>
        <w:sz w:val="18"/>
        <w:szCs w:val="18"/>
      </w:rPr>
    </w:pPr>
    <w:r>
      <w:rPr>
        <w:color w:val="000000"/>
        <w:sz w:val="18"/>
        <w:szCs w:val="18"/>
      </w:rPr>
      <w:t>Conmutador +57 6013323400</w:t>
    </w:r>
  </w:p>
  <w:p w14:paraId="4D959FE5" w14:textId="77777777" w:rsidR="00685978" w:rsidRDefault="00000000">
    <w:pPr>
      <w:pBdr>
        <w:top w:val="nil"/>
        <w:left w:val="nil"/>
        <w:bottom w:val="nil"/>
        <w:right w:val="nil"/>
        <w:between w:val="nil"/>
      </w:pBdr>
      <w:tabs>
        <w:tab w:val="center" w:pos="4252"/>
        <w:tab w:val="right" w:pos="8504"/>
        <w:tab w:val="left" w:pos="3555"/>
      </w:tabs>
      <w:ind w:left="-993"/>
      <w:rPr>
        <w:color w:val="000000"/>
        <w:sz w:val="18"/>
        <w:szCs w:val="18"/>
      </w:rPr>
    </w:pPr>
    <w:hyperlink r:id="rId1">
      <w:r>
        <w:rPr>
          <w:color w:val="0000FF"/>
          <w:sz w:val="18"/>
          <w:szCs w:val="18"/>
          <w:u w:val="single"/>
        </w:rPr>
        <w:t>www.minambiente.gov.co</w:t>
      </w:r>
    </w:hyperlink>
  </w:p>
  <w:p w14:paraId="0023FF1E" w14:textId="77777777" w:rsidR="00685978" w:rsidRDefault="00000000">
    <w:pPr>
      <w:pBdr>
        <w:top w:val="nil"/>
        <w:left w:val="nil"/>
        <w:bottom w:val="nil"/>
        <w:right w:val="nil"/>
        <w:between w:val="nil"/>
      </w:pBdr>
      <w:tabs>
        <w:tab w:val="center" w:pos="4252"/>
        <w:tab w:val="right" w:pos="8504"/>
        <w:tab w:val="left" w:pos="3555"/>
      </w:tabs>
      <w:ind w:left="-993"/>
      <w:rPr>
        <w:color w:val="000000"/>
      </w:rPr>
    </w:pPr>
    <w:r>
      <w:rPr>
        <w:color w:val="000000"/>
        <w:sz w:val="18"/>
        <w:szCs w:val="18"/>
      </w:rPr>
      <w:t>Bogotá, Colombia</w:t>
    </w:r>
    <w:r>
      <w:rPr>
        <w:color w:val="000000"/>
        <w:sz w:val="18"/>
        <w:szCs w:val="18"/>
      </w:rPr>
      <w:tab/>
    </w:r>
    <w:r>
      <w:rPr>
        <w:color w:val="000000"/>
        <w:sz w:val="18"/>
        <w:szCs w:val="18"/>
      </w:rPr>
      <w:tab/>
    </w:r>
    <w:r>
      <w:rPr>
        <w:color w:val="000000"/>
        <w:sz w:val="18"/>
        <w:szCs w:val="18"/>
      </w:rPr>
      <w:tab/>
    </w:r>
    <w:r>
      <w:rPr>
        <w:color w:val="000000"/>
      </w:rPr>
      <w:t xml:space="preserve">Página </w:t>
    </w:r>
    <w:r>
      <w:rPr>
        <w:b/>
        <w:bCs/>
        <w:color w:val="000000"/>
      </w:rPr>
      <w:fldChar w:fldCharType="begin"/>
    </w:r>
    <w:r>
      <w:rPr>
        <w:b/>
        <w:bCs/>
        <w:color w:val="000000"/>
      </w:rPr>
      <w:instrText>PAGE</w:instrText>
    </w:r>
    <w:r>
      <w:rPr>
        <w:b/>
        <w:bCs/>
        <w:color w:val="000000"/>
      </w:rPr>
      <w:fldChar w:fldCharType="separate"/>
    </w:r>
    <w:r w:rsidR="00B160CD">
      <w:rPr>
        <w:b/>
        <w:bCs/>
        <w:noProof/>
        <w:color w:val="000000"/>
      </w:rPr>
      <w:t>1</w:t>
    </w:r>
    <w:r>
      <w:rPr>
        <w:b/>
        <w:bCs/>
        <w:color w:val="000000"/>
      </w:rPr>
      <w:fldChar w:fldCharType="end"/>
    </w:r>
    <w:r>
      <w:rPr>
        <w:color w:val="000000"/>
      </w:rPr>
      <w:t xml:space="preserve"> de 2</w:t>
    </w:r>
  </w:p>
  <w:p w14:paraId="7FFEDD17" w14:textId="77777777" w:rsidR="00685978" w:rsidRDefault="00685978">
    <w:pPr>
      <w:pBdr>
        <w:top w:val="nil"/>
        <w:left w:val="nil"/>
        <w:bottom w:val="nil"/>
        <w:right w:val="nil"/>
        <w:between w:val="nil"/>
      </w:pBdr>
      <w:tabs>
        <w:tab w:val="center" w:pos="4252"/>
        <w:tab w:val="right" w:pos="8504"/>
        <w:tab w:val="left" w:pos="3555"/>
      </w:tabs>
      <w:ind w:left="-993"/>
      <w:rPr>
        <w:color w:val="000000"/>
      </w:rPr>
    </w:pPr>
  </w:p>
  <w:p w14:paraId="6F74A83A" w14:textId="77777777" w:rsidR="00685978" w:rsidRDefault="00685978">
    <w:pPr>
      <w:pBdr>
        <w:top w:val="nil"/>
        <w:left w:val="nil"/>
        <w:bottom w:val="nil"/>
        <w:right w:val="nil"/>
        <w:between w:val="nil"/>
      </w:pBdr>
      <w:tabs>
        <w:tab w:val="center" w:pos="4252"/>
        <w:tab w:val="right" w:pos="8504"/>
        <w:tab w:val="left" w:pos="3555"/>
      </w:tabs>
      <w:ind w:left="-993" w:right="-1085"/>
      <w:jc w:val="both"/>
      <w:rPr>
        <w:rFonts w:ascii="Arial Narrow" w:eastAsia="Arial Narrow" w:hAnsi="Arial Narrow" w:cs="Arial Narrow"/>
        <w:color w:val="7F7F7F"/>
        <w:sz w:val="18"/>
        <w:szCs w:val="18"/>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ED27308" w14:textId="77777777" w:rsidR="00685978" w:rsidRDefault="00000000">
    <w:pPr>
      <w:pBdr>
        <w:top w:val="nil"/>
        <w:left w:val="nil"/>
        <w:bottom w:val="nil"/>
        <w:right w:val="nil"/>
        <w:between w:val="nil"/>
      </w:pBdr>
      <w:tabs>
        <w:tab w:val="center" w:pos="4252"/>
        <w:tab w:val="right" w:pos="8504"/>
        <w:tab w:val="left" w:pos="3555"/>
      </w:tabs>
      <w:jc w:val="both"/>
      <w:rPr>
        <w:rFonts w:ascii="Arial Narrow" w:eastAsia="Arial Narrow" w:hAnsi="Arial Narrow" w:cs="Arial Narrow"/>
        <w:color w:val="000000"/>
        <w:sz w:val="18"/>
        <w:szCs w:val="18"/>
      </w:rPr>
    </w:pPr>
    <w:r>
      <w:rPr>
        <w:rFonts w:ascii="Arial Narrow" w:eastAsia="Arial Narrow" w:hAnsi="Arial Narrow" w:cs="Arial Narrow"/>
        <w:color w:val="A6A6A6"/>
        <w:sz w:val="18"/>
        <w:szCs w:val="18"/>
      </w:rPr>
      <w:t>MEMORIA JUSTIFICATIVA</w:t>
    </w:r>
    <w:r>
      <w:rPr>
        <w:rFonts w:ascii="Arial Narrow" w:eastAsia="Arial Narrow" w:hAnsi="Arial Narrow" w:cs="Arial Narrow"/>
        <w:color w:val="A6A6A6"/>
        <w:sz w:val="18"/>
        <w:szCs w:val="18"/>
      </w:rPr>
      <w:tab/>
    </w:r>
    <w:r>
      <w:rPr>
        <w:rFonts w:ascii="Arial Narrow" w:eastAsia="Arial Narrow" w:hAnsi="Arial Narrow" w:cs="Arial Narrow"/>
        <w:color w:val="A6A6A6"/>
        <w:sz w:val="18"/>
        <w:szCs w:val="18"/>
      </w:rPr>
      <w:tab/>
    </w:r>
    <w:r>
      <w:rPr>
        <w:rFonts w:ascii="Arial Narrow" w:eastAsia="Arial Narrow" w:hAnsi="Arial Narrow" w:cs="Arial Narrow"/>
        <w:color w:val="A6A6A6"/>
        <w:sz w:val="18"/>
        <w:szCs w:val="18"/>
      </w:rPr>
      <w:tab/>
      <w:t xml:space="preserve">                                      </w:t>
    </w:r>
    <w:r>
      <w:rPr>
        <w:rFonts w:ascii="Arial Narrow" w:eastAsia="Arial Narrow" w:hAnsi="Arial Narrow" w:cs="Arial Narrow"/>
        <w:color w:val="000000"/>
        <w:sz w:val="18"/>
        <w:szCs w:val="18"/>
      </w:rPr>
      <w:t xml:space="preserve">Calle 37 No. 8 – 40 </w:t>
    </w:r>
  </w:p>
  <w:p w14:paraId="6A940319" w14:textId="77777777" w:rsidR="00685978" w:rsidRDefault="00000000">
    <w:pPr>
      <w:pBdr>
        <w:top w:val="nil"/>
        <w:left w:val="nil"/>
        <w:bottom w:val="nil"/>
        <w:right w:val="nil"/>
        <w:between w:val="nil"/>
      </w:pBdr>
      <w:tabs>
        <w:tab w:val="center" w:pos="4252"/>
        <w:tab w:val="right" w:pos="8504"/>
        <w:tab w:val="left" w:pos="3555"/>
      </w:tabs>
      <w:jc w:val="both"/>
      <w:rPr>
        <w:rFonts w:ascii="Arial Narrow" w:eastAsia="Arial Narrow" w:hAnsi="Arial Narrow" w:cs="Arial Narrow"/>
        <w:color w:val="000000"/>
        <w:sz w:val="18"/>
        <w:szCs w:val="18"/>
      </w:rPr>
    </w:pPr>
    <w:r>
      <w:rPr>
        <w:rFonts w:ascii="Arial Narrow" w:eastAsia="Arial Narrow" w:hAnsi="Arial Narrow" w:cs="Arial Narrow"/>
        <w:color w:val="A6A6A6"/>
        <w:sz w:val="18"/>
        <w:szCs w:val="18"/>
      </w:rPr>
      <w:t xml:space="preserve">F-A-GJR-07                                                                                  </w:t>
    </w:r>
    <w:r>
      <w:rPr>
        <w:rFonts w:ascii="Arial Narrow" w:eastAsia="Arial Narrow" w:hAnsi="Arial Narrow" w:cs="Arial Narrow"/>
        <w:color w:val="A6A6A6"/>
        <w:sz w:val="18"/>
        <w:szCs w:val="18"/>
      </w:rPr>
      <w:tab/>
    </w:r>
    <w:r>
      <w:rPr>
        <w:rFonts w:ascii="Arial Narrow" w:eastAsia="Arial Narrow" w:hAnsi="Arial Narrow" w:cs="Arial Narrow"/>
        <w:color w:val="A6A6A6"/>
        <w:sz w:val="18"/>
        <w:szCs w:val="18"/>
      </w:rPr>
      <w:tab/>
    </w:r>
    <w:r>
      <w:rPr>
        <w:rFonts w:ascii="Arial Narrow" w:eastAsia="Arial Narrow" w:hAnsi="Arial Narrow" w:cs="Arial Narrow"/>
        <w:color w:val="000000"/>
        <w:sz w:val="18"/>
        <w:szCs w:val="18"/>
      </w:rPr>
      <w:t>Conmutador (571) 3323400</w:t>
    </w:r>
  </w:p>
  <w:p w14:paraId="4B47C666" w14:textId="77777777" w:rsidR="00685978" w:rsidRDefault="00000000">
    <w:pPr>
      <w:pBdr>
        <w:top w:val="nil"/>
        <w:left w:val="nil"/>
        <w:bottom w:val="nil"/>
        <w:right w:val="nil"/>
        <w:between w:val="nil"/>
      </w:pBdr>
      <w:tabs>
        <w:tab w:val="center" w:pos="4252"/>
        <w:tab w:val="right" w:pos="8504"/>
        <w:tab w:val="left" w:pos="3555"/>
      </w:tabs>
      <w:jc w:val="both"/>
      <w:rPr>
        <w:rFonts w:ascii="Arial Narrow" w:eastAsia="Arial Narrow" w:hAnsi="Arial Narrow" w:cs="Arial Narrow"/>
        <w:color w:val="000000"/>
        <w:sz w:val="18"/>
        <w:szCs w:val="18"/>
      </w:rPr>
    </w:pPr>
    <w:r>
      <w:rPr>
        <w:rFonts w:ascii="Arial Narrow" w:eastAsia="Arial Narrow" w:hAnsi="Arial Narrow" w:cs="Arial Narrow"/>
        <w:color w:val="FF0000"/>
        <w:sz w:val="18"/>
        <w:szCs w:val="18"/>
      </w:rPr>
      <w:t xml:space="preserve">Vigencia: 15/10/2020                                                                      </w:t>
    </w:r>
    <w:r>
      <w:rPr>
        <w:rFonts w:ascii="Arial Narrow" w:eastAsia="Arial Narrow" w:hAnsi="Arial Narrow" w:cs="Arial Narrow"/>
        <w:color w:val="A6A6A6"/>
        <w:sz w:val="18"/>
        <w:szCs w:val="18"/>
      </w:rPr>
      <w:tab/>
      <w:t xml:space="preserve">                                     </w:t>
    </w:r>
    <w:hyperlink r:id="rId1">
      <w:r>
        <w:rPr>
          <w:rFonts w:ascii="Arial Narrow" w:eastAsia="Arial Narrow" w:hAnsi="Arial Narrow" w:cs="Arial Narrow"/>
          <w:color w:val="0000FF"/>
          <w:sz w:val="18"/>
          <w:szCs w:val="18"/>
          <w:u w:val="single"/>
        </w:rPr>
        <w:t>www.minambiente.gov.co</w:t>
      </w:r>
    </w:hyperlink>
    <w:r>
      <w:rPr>
        <w:rFonts w:ascii="Arial Narrow" w:eastAsia="Arial Narrow" w:hAnsi="Arial Narrow" w:cs="Arial Narrow"/>
        <w:color w:val="000000"/>
        <w:sz w:val="18"/>
        <w:szCs w:val="18"/>
      </w:rPr>
      <w:t xml:space="preserve"> </w:t>
    </w:r>
  </w:p>
  <w:p w14:paraId="1B931B9C" w14:textId="77777777" w:rsidR="00685978" w:rsidRDefault="00000000">
    <w:pPr>
      <w:pBdr>
        <w:top w:val="nil"/>
        <w:left w:val="nil"/>
        <w:bottom w:val="nil"/>
        <w:right w:val="nil"/>
        <w:between w:val="nil"/>
      </w:pBdr>
      <w:tabs>
        <w:tab w:val="center" w:pos="4252"/>
        <w:tab w:val="right" w:pos="8504"/>
        <w:tab w:val="left" w:pos="3555"/>
      </w:tabs>
      <w:jc w:val="both"/>
      <w:rPr>
        <w:rFonts w:ascii="Arial Narrow" w:eastAsia="Arial Narrow" w:hAnsi="Arial Narrow" w:cs="Arial Narrow"/>
        <w:color w:val="000000"/>
        <w:sz w:val="18"/>
        <w:szCs w:val="18"/>
      </w:rPr>
    </w:pPr>
    <w:r>
      <w:rPr>
        <w:rFonts w:ascii="Arial Narrow" w:eastAsia="Arial Narrow" w:hAnsi="Arial Narrow" w:cs="Arial Narrow"/>
        <w:color w:val="A6A6A6"/>
        <w:sz w:val="18"/>
        <w:szCs w:val="18"/>
      </w:rPr>
      <w:t xml:space="preserve">Versión 3                                                                                                      </w:t>
    </w:r>
    <w:r>
      <w:rPr>
        <w:rFonts w:ascii="Arial Narrow" w:eastAsia="Arial Narrow" w:hAnsi="Arial Narrow" w:cs="Arial Narrow"/>
        <w:color w:val="A6A6A6"/>
        <w:sz w:val="18"/>
        <w:szCs w:val="18"/>
      </w:rPr>
      <w:tab/>
    </w:r>
    <w:r>
      <w:rPr>
        <w:rFonts w:ascii="Arial Narrow" w:eastAsia="Arial Narrow" w:hAnsi="Arial Narrow" w:cs="Arial Narrow"/>
        <w:color w:val="000000"/>
        <w:sz w:val="18"/>
        <w:szCs w:val="18"/>
      </w:rPr>
      <w:t>Bogotá, Colombia</w:t>
    </w:r>
  </w:p>
  <w:p w14:paraId="7597005E" w14:textId="77777777" w:rsidR="00685978" w:rsidRDefault="00685978">
    <w:pPr>
      <w:pBdr>
        <w:top w:val="nil"/>
        <w:left w:val="nil"/>
        <w:bottom w:val="nil"/>
        <w:right w:val="nil"/>
        <w:between w:val="nil"/>
      </w:pBdr>
      <w:tabs>
        <w:tab w:val="center" w:pos="4252"/>
        <w:tab w:val="right" w:pos="8504"/>
      </w:tabs>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6914B61" w14:textId="77777777" w:rsidR="00365BD4" w:rsidRDefault="00365BD4">
      <w:r>
        <w:separator/>
      </w:r>
    </w:p>
  </w:footnote>
  <w:footnote w:type="continuationSeparator" w:id="0">
    <w:p w14:paraId="18BF7280" w14:textId="77777777" w:rsidR="00365BD4" w:rsidRDefault="00365BD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1F64071" w14:textId="77777777" w:rsidR="00685978" w:rsidRDefault="00365BD4">
    <w:pPr>
      <w:pBdr>
        <w:top w:val="nil"/>
        <w:left w:val="nil"/>
        <w:bottom w:val="nil"/>
        <w:right w:val="nil"/>
        <w:between w:val="nil"/>
      </w:pBdr>
      <w:tabs>
        <w:tab w:val="center" w:pos="4252"/>
        <w:tab w:val="right" w:pos="8504"/>
      </w:tabs>
      <w:rPr>
        <w:color w:val="000000"/>
      </w:rPr>
    </w:pPr>
    <w:r>
      <w:rPr>
        <w:color w:val="000000"/>
      </w:rPr>
      <w:pict w14:anchorId="0A298A6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2" o:spid="_x0000_s1026" type="#_x0000_t75" alt="" style="position:absolute;margin-left:0;margin-top:0;width:496.05pt;height:149.6pt;z-index:-251657216;mso-wrap-edited:f;mso-width-percent:0;mso-height-percent:0;mso-position-horizontal:center;mso-position-horizontal-relative:margin;mso-position-vertical:center;mso-position-vertical-relative:margin;mso-width-percent:0;mso-height-percent:0">
          <v:imagedata r:id="rId1" o:title="image3" gain="19661f" blacklevel="22938f"/>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47D5037" w14:textId="77777777" w:rsidR="00685978" w:rsidRDefault="00685978">
    <w:pPr>
      <w:pBdr>
        <w:top w:val="nil"/>
        <w:left w:val="nil"/>
        <w:bottom w:val="nil"/>
        <w:right w:val="nil"/>
        <w:between w:val="nil"/>
      </w:pBdr>
      <w:tabs>
        <w:tab w:val="center" w:pos="4252"/>
        <w:tab w:val="right" w:pos="8504"/>
      </w:tabs>
      <w:rPr>
        <w:color w:val="000000"/>
      </w:rPr>
    </w:pPr>
  </w:p>
  <w:tbl>
    <w:tblPr>
      <w:tblStyle w:val="a0"/>
      <w:tblW w:w="10773" w:type="dxa"/>
      <w:tblInd w:w="-88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2722"/>
      <w:gridCol w:w="6208"/>
      <w:gridCol w:w="1843"/>
    </w:tblGrid>
    <w:tr w:rsidR="00685978" w14:paraId="647C0972" w14:textId="77777777">
      <w:trPr>
        <w:cantSplit/>
        <w:trHeight w:val="313"/>
      </w:trPr>
      <w:tc>
        <w:tcPr>
          <w:tcW w:w="2722" w:type="dxa"/>
          <w:vMerge w:val="restart"/>
          <w:vAlign w:val="center"/>
        </w:tcPr>
        <w:p w14:paraId="767B0CD8" w14:textId="77777777" w:rsidR="00685978" w:rsidRDefault="00000000">
          <w:pPr>
            <w:jc w:val="center"/>
            <w:rPr>
              <w:sz w:val="18"/>
              <w:szCs w:val="18"/>
            </w:rPr>
          </w:pPr>
          <w:r>
            <w:rPr>
              <w:sz w:val="18"/>
              <w:szCs w:val="18"/>
            </w:rPr>
            <w:t>MINISTERIO DE AMBIENTE Y DESARROLLO SOSTENIBLE</w:t>
          </w:r>
        </w:p>
      </w:tc>
      <w:tc>
        <w:tcPr>
          <w:tcW w:w="6208" w:type="dxa"/>
          <w:shd w:val="clear" w:color="auto" w:fill="154A8A"/>
        </w:tcPr>
        <w:p w14:paraId="69A8A384" w14:textId="77777777" w:rsidR="00685978" w:rsidRDefault="00000000">
          <w:pPr>
            <w:spacing w:before="60"/>
            <w:ind w:right="-40"/>
            <w:jc w:val="center"/>
            <w:rPr>
              <w:b/>
              <w:bCs/>
              <w:color w:val="FFFFFF"/>
            </w:rPr>
          </w:pPr>
          <w:r>
            <w:rPr>
              <w:b/>
              <w:bCs/>
              <w:color w:val="FFFFFF"/>
            </w:rPr>
            <w:t>MEMORIA JUSTIFICATIVA</w:t>
          </w:r>
        </w:p>
      </w:tc>
      <w:tc>
        <w:tcPr>
          <w:tcW w:w="1843" w:type="dxa"/>
          <w:vMerge w:val="restart"/>
          <w:vAlign w:val="center"/>
        </w:tcPr>
        <w:p w14:paraId="0595F246" w14:textId="77777777" w:rsidR="00685978" w:rsidRDefault="00000000">
          <w:pPr>
            <w:ind w:right="-42"/>
            <w:jc w:val="center"/>
            <w:rPr>
              <w:b/>
              <w:bCs/>
            </w:rPr>
          </w:pPr>
          <w:r>
            <w:rPr>
              <w:b/>
              <w:bCs/>
              <w:noProof/>
            </w:rPr>
            <w:drawing>
              <wp:inline distT="0" distB="0" distL="0" distR="0" wp14:anchorId="5E7A14B2" wp14:editId="0C78D333">
                <wp:extent cx="1054100" cy="330200"/>
                <wp:effectExtent l="0" t="0" r="0" b="0"/>
                <wp:docPr id="3"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1"/>
                        <a:srcRect l="-563" t="-1860" r="-1198" b="-3264"/>
                        <a:stretch>
                          <a:fillRect/>
                        </a:stretch>
                      </pic:blipFill>
                      <pic:spPr>
                        <a:xfrm>
                          <a:off x="0" y="0"/>
                          <a:ext cx="1054100" cy="330200"/>
                        </a:xfrm>
                        <a:prstGeom prst="rect">
                          <a:avLst/>
                        </a:prstGeom>
                        <a:ln/>
                      </pic:spPr>
                    </pic:pic>
                  </a:graphicData>
                </a:graphic>
              </wp:inline>
            </w:drawing>
          </w:r>
        </w:p>
      </w:tc>
    </w:tr>
    <w:tr w:rsidR="00685978" w14:paraId="21159921" w14:textId="77777777">
      <w:trPr>
        <w:cantSplit/>
        <w:trHeight w:val="316"/>
      </w:trPr>
      <w:tc>
        <w:tcPr>
          <w:tcW w:w="2722" w:type="dxa"/>
          <w:vMerge/>
          <w:vAlign w:val="center"/>
        </w:tcPr>
        <w:p w14:paraId="05834617" w14:textId="77777777" w:rsidR="00685978" w:rsidRDefault="00685978">
          <w:pPr>
            <w:widowControl w:val="0"/>
            <w:pBdr>
              <w:top w:val="nil"/>
              <w:left w:val="nil"/>
              <w:bottom w:val="nil"/>
              <w:right w:val="nil"/>
              <w:between w:val="nil"/>
            </w:pBdr>
            <w:spacing w:line="276" w:lineRule="auto"/>
            <w:rPr>
              <w:b/>
              <w:bCs/>
            </w:rPr>
          </w:pPr>
        </w:p>
      </w:tc>
      <w:tc>
        <w:tcPr>
          <w:tcW w:w="6208" w:type="dxa"/>
          <w:shd w:val="clear" w:color="auto" w:fill="E1E1E1"/>
        </w:tcPr>
        <w:p w14:paraId="18249482" w14:textId="77777777" w:rsidR="00685978" w:rsidRDefault="00000000">
          <w:pPr>
            <w:ind w:right="-42"/>
            <w:jc w:val="center"/>
          </w:pPr>
          <w:r>
            <w:rPr>
              <w:b/>
              <w:bCs/>
            </w:rPr>
            <w:t xml:space="preserve">Proceso: </w:t>
          </w:r>
          <w:r>
            <w:t>Gestión jurídica</w:t>
          </w:r>
        </w:p>
      </w:tc>
      <w:tc>
        <w:tcPr>
          <w:tcW w:w="1843" w:type="dxa"/>
          <w:vMerge/>
          <w:vAlign w:val="center"/>
        </w:tcPr>
        <w:p w14:paraId="4E6202E3" w14:textId="77777777" w:rsidR="00685978" w:rsidRDefault="00685978">
          <w:pPr>
            <w:widowControl w:val="0"/>
            <w:pBdr>
              <w:top w:val="nil"/>
              <w:left w:val="nil"/>
              <w:bottom w:val="nil"/>
              <w:right w:val="nil"/>
              <w:between w:val="nil"/>
            </w:pBdr>
            <w:spacing w:line="276" w:lineRule="auto"/>
          </w:pPr>
        </w:p>
      </w:tc>
    </w:tr>
    <w:tr w:rsidR="00685978" w14:paraId="1CE64970" w14:textId="77777777">
      <w:trPr>
        <w:cantSplit/>
        <w:trHeight w:val="339"/>
      </w:trPr>
      <w:tc>
        <w:tcPr>
          <w:tcW w:w="2722" w:type="dxa"/>
          <w:vAlign w:val="center"/>
        </w:tcPr>
        <w:p w14:paraId="54A05896" w14:textId="77777777" w:rsidR="00685978" w:rsidRDefault="00000000">
          <w:pPr>
            <w:jc w:val="center"/>
            <w:rPr>
              <w:sz w:val="16"/>
              <w:szCs w:val="16"/>
            </w:rPr>
          </w:pPr>
          <w:r>
            <w:rPr>
              <w:b/>
              <w:bCs/>
              <w:sz w:val="16"/>
              <w:szCs w:val="16"/>
            </w:rPr>
            <w:t>Versión</w:t>
          </w:r>
          <w:r>
            <w:rPr>
              <w:sz w:val="16"/>
              <w:szCs w:val="16"/>
            </w:rPr>
            <w:t>: 4</w:t>
          </w:r>
        </w:p>
      </w:tc>
      <w:tc>
        <w:tcPr>
          <w:tcW w:w="6208" w:type="dxa"/>
        </w:tcPr>
        <w:p w14:paraId="267344EA" w14:textId="77777777" w:rsidR="00685978" w:rsidRDefault="00000000">
          <w:pPr>
            <w:ind w:right="-42"/>
            <w:jc w:val="center"/>
            <w:rPr>
              <w:sz w:val="16"/>
              <w:szCs w:val="16"/>
            </w:rPr>
          </w:pPr>
          <w:r>
            <w:rPr>
              <w:b/>
              <w:bCs/>
              <w:sz w:val="16"/>
              <w:szCs w:val="16"/>
            </w:rPr>
            <w:t>Vigencia</w:t>
          </w:r>
          <w:r>
            <w:rPr>
              <w:sz w:val="16"/>
              <w:szCs w:val="16"/>
            </w:rPr>
            <w:t>: 25/11/2022</w:t>
          </w:r>
        </w:p>
      </w:tc>
      <w:tc>
        <w:tcPr>
          <w:tcW w:w="1843" w:type="dxa"/>
          <w:vAlign w:val="center"/>
        </w:tcPr>
        <w:p w14:paraId="2F27975B" w14:textId="77777777" w:rsidR="00685978" w:rsidRDefault="00000000">
          <w:pPr>
            <w:ind w:right="-42"/>
            <w:jc w:val="center"/>
            <w:rPr>
              <w:sz w:val="16"/>
              <w:szCs w:val="16"/>
            </w:rPr>
          </w:pPr>
          <w:r>
            <w:rPr>
              <w:b/>
              <w:bCs/>
              <w:sz w:val="16"/>
              <w:szCs w:val="16"/>
            </w:rPr>
            <w:t>Código:</w:t>
          </w:r>
          <w:r>
            <w:rPr>
              <w:sz w:val="16"/>
              <w:szCs w:val="16"/>
            </w:rPr>
            <w:t xml:space="preserve"> F-A-GJR-07</w:t>
          </w:r>
        </w:p>
      </w:tc>
    </w:tr>
  </w:tbl>
  <w:p w14:paraId="499C1D30" w14:textId="77777777" w:rsidR="00685978" w:rsidRDefault="00000000">
    <w:pPr>
      <w:pBdr>
        <w:top w:val="nil"/>
        <w:left w:val="nil"/>
        <w:bottom w:val="nil"/>
        <w:right w:val="nil"/>
        <w:between w:val="nil"/>
      </w:pBdr>
      <w:tabs>
        <w:tab w:val="center" w:pos="4252"/>
        <w:tab w:val="right" w:pos="8504"/>
      </w:tabs>
      <w:rPr>
        <w:color w:val="000000"/>
      </w:rPr>
    </w:pPr>
    <w:r>
      <w:rPr>
        <w:noProof/>
      </w:rPr>
      <w:drawing>
        <wp:anchor distT="0" distB="0" distL="0" distR="0" simplePos="0" relativeHeight="251656192" behindDoc="1" locked="0" layoutInCell="1" hidden="0" allowOverlap="1" wp14:anchorId="124AF989" wp14:editId="6153C479">
          <wp:simplePos x="0" y="0"/>
          <wp:positionH relativeFrom="column">
            <wp:posOffset>514350</wp:posOffset>
          </wp:positionH>
          <wp:positionV relativeFrom="paragraph">
            <wp:posOffset>3205480</wp:posOffset>
          </wp:positionV>
          <wp:extent cx="5258435" cy="1586230"/>
          <wp:effectExtent l="0" t="0" r="0" b="0"/>
          <wp:wrapNone/>
          <wp:docPr id="1"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2"/>
                  <a:srcRect/>
                  <a:stretch>
                    <a:fillRect/>
                  </a:stretch>
                </pic:blipFill>
                <pic:spPr>
                  <a:xfrm>
                    <a:off x="0" y="0"/>
                    <a:ext cx="5258435" cy="1586230"/>
                  </a:xfrm>
                  <a:prstGeom prst="rect">
                    <a:avLst/>
                  </a:prstGeom>
                  <a:ln/>
                </pic:spPr>
              </pic:pic>
            </a:graphicData>
          </a:graphic>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0D9727A" w14:textId="77777777" w:rsidR="00685978" w:rsidRDefault="00685978">
    <w:pPr>
      <w:widowControl w:val="0"/>
      <w:pBdr>
        <w:top w:val="nil"/>
        <w:left w:val="nil"/>
        <w:bottom w:val="nil"/>
        <w:right w:val="nil"/>
        <w:between w:val="nil"/>
      </w:pBdr>
      <w:spacing w:line="276" w:lineRule="auto"/>
      <w:rPr>
        <w:color w:val="000000"/>
      </w:rPr>
    </w:pPr>
  </w:p>
  <w:tbl>
    <w:tblPr>
      <w:tblStyle w:val="a1"/>
      <w:tblW w:w="11796" w:type="dxa"/>
      <w:tblInd w:w="-88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3726"/>
      <w:gridCol w:w="4567"/>
      <w:gridCol w:w="3503"/>
    </w:tblGrid>
    <w:tr w:rsidR="00685978" w14:paraId="5CB829D2" w14:textId="77777777">
      <w:trPr>
        <w:cantSplit/>
        <w:trHeight w:val="706"/>
      </w:trPr>
      <w:tc>
        <w:tcPr>
          <w:tcW w:w="3726" w:type="dxa"/>
          <w:vMerge w:val="restart"/>
          <w:vAlign w:val="center"/>
        </w:tcPr>
        <w:p w14:paraId="51097DD9" w14:textId="77777777" w:rsidR="00685978" w:rsidRDefault="00000000">
          <w:pPr>
            <w:jc w:val="center"/>
            <w:rPr>
              <w:rFonts w:ascii="Arial Narrow" w:eastAsia="Arial Narrow" w:hAnsi="Arial Narrow" w:cs="Arial Narrow"/>
              <w:b/>
              <w:bCs/>
            </w:rPr>
          </w:pPr>
          <w:r>
            <w:rPr>
              <w:rFonts w:ascii="Arial Narrow" w:eastAsia="Arial Narrow" w:hAnsi="Arial Narrow" w:cs="Arial Narrow"/>
            </w:rPr>
            <w:t>MINISTERIO DE AMBIENTE Y DESARROLLO SOSTENIBLE</w:t>
          </w:r>
        </w:p>
      </w:tc>
      <w:tc>
        <w:tcPr>
          <w:tcW w:w="4567" w:type="dxa"/>
          <w:shd w:val="clear" w:color="auto" w:fill="4472C4"/>
          <w:vAlign w:val="center"/>
        </w:tcPr>
        <w:p w14:paraId="742DCB44" w14:textId="77777777" w:rsidR="00685978" w:rsidRDefault="00000000">
          <w:pPr>
            <w:spacing w:before="60"/>
            <w:ind w:right="-40"/>
            <w:jc w:val="center"/>
            <w:rPr>
              <w:rFonts w:ascii="Arial Narrow" w:eastAsia="Arial Narrow" w:hAnsi="Arial Narrow" w:cs="Arial Narrow"/>
              <w:b/>
              <w:bCs/>
              <w:color w:val="FFFFFF"/>
              <w:sz w:val="24"/>
              <w:szCs w:val="24"/>
            </w:rPr>
          </w:pPr>
          <w:r>
            <w:rPr>
              <w:rFonts w:ascii="Arial Narrow" w:eastAsia="Arial Narrow" w:hAnsi="Arial Narrow" w:cs="Arial Narrow"/>
              <w:b/>
              <w:bCs/>
              <w:color w:val="FFFFFF"/>
              <w:sz w:val="24"/>
              <w:szCs w:val="24"/>
            </w:rPr>
            <w:t>MEMORIA JUSTIFICATIVA</w:t>
          </w:r>
        </w:p>
      </w:tc>
      <w:tc>
        <w:tcPr>
          <w:tcW w:w="3503" w:type="dxa"/>
          <w:vMerge w:val="restart"/>
          <w:vAlign w:val="center"/>
        </w:tcPr>
        <w:p w14:paraId="1BDBDCF3" w14:textId="77777777" w:rsidR="00685978" w:rsidRDefault="00000000">
          <w:pPr>
            <w:ind w:right="-42"/>
            <w:jc w:val="center"/>
            <w:rPr>
              <w:rFonts w:ascii="Arial Narrow" w:eastAsia="Arial Narrow" w:hAnsi="Arial Narrow" w:cs="Arial Narrow"/>
              <w:b/>
              <w:bCs/>
            </w:rPr>
          </w:pPr>
          <w:r>
            <w:rPr>
              <w:noProof/>
            </w:rPr>
            <w:drawing>
              <wp:anchor distT="0" distB="0" distL="114300" distR="114300" simplePos="0" relativeHeight="251657216" behindDoc="0" locked="0" layoutInCell="1" hidden="0" allowOverlap="1" wp14:anchorId="65A54FA3" wp14:editId="11ED1FD2">
                <wp:simplePos x="0" y="0"/>
                <wp:positionH relativeFrom="column">
                  <wp:posOffset>233677</wp:posOffset>
                </wp:positionH>
                <wp:positionV relativeFrom="paragraph">
                  <wp:posOffset>0</wp:posOffset>
                </wp:positionV>
                <wp:extent cx="1536700" cy="398780"/>
                <wp:effectExtent l="0" t="0" r="0" b="0"/>
                <wp:wrapSquare wrapText="bothSides" distT="0" distB="0" distL="114300" distR="114300"/>
                <wp:docPr id="2"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1536700" cy="398780"/>
                        </a:xfrm>
                        <a:prstGeom prst="rect">
                          <a:avLst/>
                        </a:prstGeom>
                        <a:ln/>
                      </pic:spPr>
                    </pic:pic>
                  </a:graphicData>
                </a:graphic>
              </wp:anchor>
            </w:drawing>
          </w:r>
        </w:p>
      </w:tc>
    </w:tr>
    <w:tr w:rsidR="00685978" w14:paraId="2408FE32" w14:textId="77777777">
      <w:trPr>
        <w:cantSplit/>
        <w:trHeight w:val="273"/>
      </w:trPr>
      <w:tc>
        <w:tcPr>
          <w:tcW w:w="3726" w:type="dxa"/>
          <w:vMerge/>
          <w:vAlign w:val="center"/>
        </w:tcPr>
        <w:p w14:paraId="20294B70" w14:textId="77777777" w:rsidR="00685978" w:rsidRDefault="00685978">
          <w:pPr>
            <w:widowControl w:val="0"/>
            <w:pBdr>
              <w:top w:val="nil"/>
              <w:left w:val="nil"/>
              <w:bottom w:val="nil"/>
              <w:right w:val="nil"/>
              <w:between w:val="nil"/>
            </w:pBdr>
            <w:spacing w:line="276" w:lineRule="auto"/>
            <w:rPr>
              <w:rFonts w:ascii="Arial Narrow" w:eastAsia="Arial Narrow" w:hAnsi="Arial Narrow" w:cs="Arial Narrow"/>
              <w:b/>
              <w:bCs/>
            </w:rPr>
          </w:pPr>
        </w:p>
      </w:tc>
      <w:tc>
        <w:tcPr>
          <w:tcW w:w="4567" w:type="dxa"/>
          <w:shd w:val="clear" w:color="auto" w:fill="E6EFFD"/>
          <w:vAlign w:val="center"/>
        </w:tcPr>
        <w:p w14:paraId="6B3FBB9C" w14:textId="77777777" w:rsidR="00685978" w:rsidRDefault="00000000">
          <w:pPr>
            <w:ind w:right="-42"/>
            <w:jc w:val="center"/>
            <w:rPr>
              <w:rFonts w:ascii="Arial Narrow" w:eastAsia="Arial Narrow" w:hAnsi="Arial Narrow" w:cs="Arial Narrow"/>
            </w:rPr>
          </w:pPr>
          <w:r>
            <w:rPr>
              <w:rFonts w:ascii="Arial Narrow" w:eastAsia="Arial Narrow" w:hAnsi="Arial Narrow" w:cs="Arial Narrow"/>
              <w:b/>
              <w:bCs/>
            </w:rPr>
            <w:t>Proceso:</w:t>
          </w:r>
          <w:r>
            <w:rPr>
              <w:rFonts w:ascii="Arial Narrow" w:eastAsia="Arial Narrow" w:hAnsi="Arial Narrow" w:cs="Arial Narrow"/>
            </w:rPr>
            <w:t xml:space="preserve"> Gestión Jurídica</w:t>
          </w:r>
        </w:p>
      </w:tc>
      <w:tc>
        <w:tcPr>
          <w:tcW w:w="3503" w:type="dxa"/>
          <w:vMerge/>
          <w:vAlign w:val="center"/>
        </w:tcPr>
        <w:p w14:paraId="070D4B28" w14:textId="77777777" w:rsidR="00685978" w:rsidRDefault="00685978">
          <w:pPr>
            <w:widowControl w:val="0"/>
            <w:pBdr>
              <w:top w:val="nil"/>
              <w:left w:val="nil"/>
              <w:bottom w:val="nil"/>
              <w:right w:val="nil"/>
              <w:between w:val="nil"/>
            </w:pBdr>
            <w:spacing w:line="276" w:lineRule="auto"/>
            <w:rPr>
              <w:rFonts w:ascii="Arial Narrow" w:eastAsia="Arial Narrow" w:hAnsi="Arial Narrow" w:cs="Arial Narrow"/>
            </w:rPr>
          </w:pPr>
        </w:p>
      </w:tc>
    </w:tr>
    <w:tr w:rsidR="00685978" w14:paraId="046CF047" w14:textId="77777777">
      <w:trPr>
        <w:cantSplit/>
        <w:trHeight w:val="278"/>
      </w:trPr>
      <w:tc>
        <w:tcPr>
          <w:tcW w:w="3726" w:type="dxa"/>
          <w:vAlign w:val="center"/>
        </w:tcPr>
        <w:p w14:paraId="080C94A4" w14:textId="77777777" w:rsidR="00685978" w:rsidRDefault="00000000">
          <w:pPr>
            <w:jc w:val="center"/>
            <w:rPr>
              <w:rFonts w:ascii="Arial Narrow" w:eastAsia="Arial Narrow" w:hAnsi="Arial Narrow" w:cs="Arial Narrow"/>
              <w:color w:val="FF0000"/>
            </w:rPr>
          </w:pPr>
          <w:r>
            <w:rPr>
              <w:rFonts w:ascii="Arial Narrow" w:eastAsia="Arial Narrow" w:hAnsi="Arial Narrow" w:cs="Arial Narrow"/>
              <w:b/>
              <w:bCs/>
              <w:color w:val="FF0000"/>
            </w:rPr>
            <w:t>Versión:</w:t>
          </w:r>
          <w:r>
            <w:rPr>
              <w:rFonts w:ascii="Arial Narrow" w:eastAsia="Arial Narrow" w:hAnsi="Arial Narrow" w:cs="Arial Narrow"/>
              <w:color w:val="FF0000"/>
            </w:rPr>
            <w:t xml:space="preserve"> 3</w:t>
          </w:r>
        </w:p>
      </w:tc>
      <w:tc>
        <w:tcPr>
          <w:tcW w:w="4567" w:type="dxa"/>
          <w:vAlign w:val="center"/>
        </w:tcPr>
        <w:p w14:paraId="65AF0E33" w14:textId="77777777" w:rsidR="00685978" w:rsidRDefault="00000000">
          <w:pPr>
            <w:ind w:right="-42"/>
            <w:jc w:val="center"/>
            <w:rPr>
              <w:rFonts w:ascii="Arial Narrow" w:eastAsia="Arial Narrow" w:hAnsi="Arial Narrow" w:cs="Arial Narrow"/>
              <w:color w:val="FF0000"/>
            </w:rPr>
          </w:pPr>
          <w:r>
            <w:rPr>
              <w:rFonts w:ascii="Arial Narrow" w:eastAsia="Arial Narrow" w:hAnsi="Arial Narrow" w:cs="Arial Narrow"/>
              <w:b/>
              <w:bCs/>
              <w:color w:val="FF0000"/>
            </w:rPr>
            <w:t>Vigencia:</w:t>
          </w:r>
          <w:r>
            <w:rPr>
              <w:rFonts w:ascii="Arial Narrow" w:eastAsia="Arial Narrow" w:hAnsi="Arial Narrow" w:cs="Arial Narrow"/>
              <w:color w:val="FF0000"/>
            </w:rPr>
            <w:t xml:space="preserve"> 15/10/2020</w:t>
          </w:r>
        </w:p>
      </w:tc>
      <w:tc>
        <w:tcPr>
          <w:tcW w:w="3503" w:type="dxa"/>
          <w:vAlign w:val="center"/>
        </w:tcPr>
        <w:p w14:paraId="07C0A454" w14:textId="77777777" w:rsidR="00685978" w:rsidRDefault="00000000">
          <w:pPr>
            <w:ind w:right="-42"/>
            <w:jc w:val="center"/>
            <w:rPr>
              <w:rFonts w:ascii="Arial Narrow" w:eastAsia="Arial Narrow" w:hAnsi="Arial Narrow" w:cs="Arial Narrow"/>
              <w:color w:val="FF0000"/>
            </w:rPr>
          </w:pPr>
          <w:r>
            <w:rPr>
              <w:rFonts w:ascii="Arial Narrow" w:eastAsia="Arial Narrow" w:hAnsi="Arial Narrow" w:cs="Arial Narrow"/>
              <w:b/>
              <w:bCs/>
              <w:color w:val="FF0000"/>
            </w:rPr>
            <w:t>Código:</w:t>
          </w:r>
          <w:r>
            <w:rPr>
              <w:rFonts w:ascii="Arial Narrow" w:eastAsia="Arial Narrow" w:hAnsi="Arial Narrow" w:cs="Arial Narrow"/>
              <w:color w:val="FF0000"/>
            </w:rPr>
            <w:t xml:space="preserve"> F-A-GJR-07</w:t>
          </w:r>
        </w:p>
      </w:tc>
    </w:tr>
  </w:tbl>
  <w:p w14:paraId="624A8B63" w14:textId="77777777" w:rsidR="00685978" w:rsidRDefault="00365BD4">
    <w:pPr>
      <w:pBdr>
        <w:top w:val="nil"/>
        <w:left w:val="nil"/>
        <w:bottom w:val="nil"/>
        <w:right w:val="nil"/>
        <w:between w:val="nil"/>
      </w:pBdr>
      <w:tabs>
        <w:tab w:val="center" w:pos="4252"/>
        <w:tab w:val="right" w:pos="8504"/>
      </w:tabs>
      <w:rPr>
        <w:color w:val="000000"/>
      </w:rPr>
    </w:pPr>
    <w:r>
      <w:rPr>
        <w:rFonts w:ascii="Arial Narrow" w:eastAsia="Arial Narrow" w:hAnsi="Arial Narrow" w:cs="Arial Narrow"/>
        <w:color w:val="000000"/>
      </w:rPr>
      <w:pict w14:anchorId="50EA7B9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 o:spid="_x0000_s1025" type="#_x0000_t75" alt="" style="position:absolute;margin-left:0;margin-top:0;width:496.05pt;height:149.6pt;z-index:-251658240;mso-wrap-edited:f;mso-width-percent:0;mso-height-percent:0;mso-position-horizontal:center;mso-position-horizontal-relative:margin;mso-position-vertical:center;mso-position-vertical-relative:margin;mso-width-percent:0;mso-height-percent:0">
          <v:imagedata r:id="rId2" o:title="image3" gain="19661f" blacklevel="22938f"/>
          <w10:wrap anchorx="margin" anchory="margin"/>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2DB1C0D"/>
    <w:multiLevelType w:val="multilevel"/>
    <w:tmpl w:val="D01C743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 w15:restartNumberingAfterBreak="0">
    <w:nsid w:val="2BF934B2"/>
    <w:multiLevelType w:val="multilevel"/>
    <w:tmpl w:val="BF8262BC"/>
    <w:lvl w:ilvl="0">
      <w:start w:val="1"/>
      <w:numFmt w:val="decimal"/>
      <w:lvlText w:val="%1."/>
      <w:lvlJc w:val="left"/>
      <w:pPr>
        <w:ind w:left="720" w:hanging="360"/>
      </w:pPr>
    </w:lvl>
    <w:lvl w:ilvl="1">
      <w:start w:val="1"/>
      <w:numFmt w:val="decimal"/>
      <w:lvlText w:val="%1.%2"/>
      <w:lvlJc w:val="left"/>
      <w:pPr>
        <w:ind w:left="720" w:hanging="360"/>
      </w:pPr>
    </w:lvl>
    <w:lvl w:ilvl="2">
      <w:start w:val="1"/>
      <w:numFmt w:val="decimal"/>
      <w:lvlText w:val="%1.%2.%3"/>
      <w:lvlJc w:val="left"/>
      <w:pPr>
        <w:ind w:left="1080" w:hanging="720"/>
      </w:pPr>
    </w:lvl>
    <w:lvl w:ilvl="3">
      <w:start w:val="1"/>
      <w:numFmt w:val="decimal"/>
      <w:lvlText w:val="%1.%2.%3.%4"/>
      <w:lvlJc w:val="left"/>
      <w:pPr>
        <w:ind w:left="1080" w:hanging="720"/>
      </w:pPr>
    </w:lvl>
    <w:lvl w:ilvl="4">
      <w:start w:val="1"/>
      <w:numFmt w:val="decimal"/>
      <w:lvlText w:val="%1.%2.%3.%4.%5"/>
      <w:lvlJc w:val="left"/>
      <w:pPr>
        <w:ind w:left="1080" w:hanging="720"/>
      </w:pPr>
    </w:lvl>
    <w:lvl w:ilvl="5">
      <w:start w:val="1"/>
      <w:numFmt w:val="decimal"/>
      <w:lvlText w:val="%1.%2.%3.%4.%5.%6"/>
      <w:lvlJc w:val="left"/>
      <w:pPr>
        <w:ind w:left="1440" w:hanging="1080"/>
      </w:pPr>
    </w:lvl>
    <w:lvl w:ilvl="6">
      <w:start w:val="1"/>
      <w:numFmt w:val="decimal"/>
      <w:lvlText w:val="%1.%2.%3.%4.%5.%6.%7"/>
      <w:lvlJc w:val="left"/>
      <w:pPr>
        <w:ind w:left="1440" w:hanging="1080"/>
      </w:pPr>
    </w:lvl>
    <w:lvl w:ilvl="7">
      <w:start w:val="1"/>
      <w:numFmt w:val="decimal"/>
      <w:lvlText w:val="%1.%2.%3.%4.%5.%6.%7.%8"/>
      <w:lvlJc w:val="left"/>
      <w:pPr>
        <w:ind w:left="1800" w:hanging="1440"/>
      </w:pPr>
    </w:lvl>
    <w:lvl w:ilvl="8">
      <w:start w:val="1"/>
      <w:numFmt w:val="decimal"/>
      <w:lvlText w:val="%1.%2.%3.%4.%5.%6.%7.%8.%9"/>
      <w:lvlJc w:val="left"/>
      <w:pPr>
        <w:ind w:left="1800" w:hanging="1440"/>
      </w:pPr>
    </w:lvl>
  </w:abstractNum>
  <w:num w:numId="1" w16cid:durableId="1990281605">
    <w:abstractNumId w:val="1"/>
  </w:num>
  <w:num w:numId="2" w16cid:durableId="159567251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5"/>
  <w:embedTrueTypeFonts/>
  <w:proofState w:spelling="clean" w:grammar="clean"/>
  <w:defaultTabStop w:val="720"/>
  <w:hyphenationZone w:val="425"/>
  <w:characterSpacingControl w:val="doNotCompress"/>
  <w:hdrShapeDefaults>
    <o:shapedefaults v:ext="edit" spidmax="2050"/>
    <o:shapelayout v:ext="edit">
      <o:idmap v:ext="edit" data="1"/>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685978"/>
    <w:rsid w:val="00365BD4"/>
    <w:rsid w:val="00685978"/>
    <w:rsid w:val="00860F04"/>
    <w:rsid w:val="008A0F38"/>
    <w:rsid w:val="00B160CD"/>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0D0181A"/>
  <w15:docId w15:val="{2FDFF518-13DB-4240-AC2A-07D530D4199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Arial" w:eastAsia="Arial" w:hAnsi="Arial" w:cs="Arial"/>
        <w:lang w:val="es-CO" w:eastAsia="es-ES_tradnl"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uiPriority w:val="9"/>
    <w:qFormat/>
    <w:pPr>
      <w:keepNext/>
      <w:spacing w:before="240" w:after="60"/>
      <w:outlineLvl w:val="0"/>
    </w:pPr>
    <w:rPr>
      <w:b/>
      <w:bCs/>
      <w:color w:val="000080"/>
      <w:sz w:val="28"/>
      <w:szCs w:val="28"/>
    </w:rPr>
  </w:style>
  <w:style w:type="paragraph" w:styleId="Ttulo2">
    <w:name w:val="heading 2"/>
    <w:basedOn w:val="Normal"/>
    <w:next w:val="Normal"/>
    <w:uiPriority w:val="9"/>
    <w:unhideWhenUsed/>
    <w:qFormat/>
    <w:pPr>
      <w:keepNext/>
      <w:jc w:val="center"/>
      <w:outlineLvl w:val="1"/>
    </w:pPr>
    <w:rPr>
      <w:b/>
      <w:bCs/>
    </w:rPr>
  </w:style>
  <w:style w:type="paragraph" w:styleId="Ttulo3">
    <w:name w:val="heading 3"/>
    <w:basedOn w:val="Normal"/>
    <w:next w:val="Normal"/>
    <w:uiPriority w:val="9"/>
    <w:unhideWhenUsed/>
    <w:qFormat/>
    <w:pPr>
      <w:keepNext/>
      <w:jc w:val="center"/>
      <w:outlineLvl w:val="2"/>
    </w:pPr>
    <w:rPr>
      <w:rFonts w:ascii="Tahoma" w:eastAsia="Tahoma" w:hAnsi="Tahoma" w:cs="Tahoma"/>
      <w:b/>
      <w:bCs/>
      <w:sz w:val="18"/>
      <w:szCs w:val="18"/>
    </w:rPr>
  </w:style>
  <w:style w:type="paragraph" w:styleId="Ttulo4">
    <w:name w:val="heading 4"/>
    <w:basedOn w:val="Normal"/>
    <w:next w:val="Normal"/>
    <w:uiPriority w:val="9"/>
    <w:semiHidden/>
    <w:unhideWhenUsed/>
    <w:qFormat/>
    <w:pPr>
      <w:keepNext/>
      <w:keepLines/>
      <w:spacing w:before="240" w:after="40"/>
      <w:outlineLvl w:val="3"/>
    </w:pPr>
    <w:rPr>
      <w:b/>
      <w:bCs/>
      <w:sz w:val="24"/>
      <w:szCs w:val="24"/>
    </w:rPr>
  </w:style>
  <w:style w:type="paragraph" w:styleId="Ttulo5">
    <w:name w:val="heading 5"/>
    <w:basedOn w:val="Normal"/>
    <w:next w:val="Normal"/>
    <w:uiPriority w:val="9"/>
    <w:semiHidden/>
    <w:unhideWhenUsed/>
    <w:qFormat/>
    <w:pPr>
      <w:keepNext/>
      <w:keepLines/>
      <w:spacing w:before="220" w:after="40"/>
      <w:outlineLvl w:val="4"/>
    </w:pPr>
    <w:rPr>
      <w:b/>
      <w:bCs/>
      <w:sz w:val="22"/>
      <w:szCs w:val="22"/>
    </w:rPr>
  </w:style>
  <w:style w:type="paragraph" w:styleId="Ttulo6">
    <w:name w:val="heading 6"/>
    <w:basedOn w:val="Normal"/>
    <w:next w:val="Normal"/>
    <w:uiPriority w:val="9"/>
    <w:semiHidden/>
    <w:unhideWhenUsed/>
    <w:qFormat/>
    <w:pPr>
      <w:keepNext/>
      <w:keepLines/>
      <w:spacing w:before="200" w:after="40"/>
      <w:outlineLvl w:val="5"/>
    </w:pPr>
    <w:rPr>
      <w:b/>
      <w:bC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tulo">
    <w:name w:val="Title"/>
    <w:basedOn w:val="Normal"/>
    <w:next w:val="Normal"/>
    <w:uiPriority w:val="10"/>
    <w:qFormat/>
    <w:pPr>
      <w:jc w:val="center"/>
    </w:pPr>
    <w:rPr>
      <w:b/>
      <w:bCs/>
      <w:sz w:val="32"/>
      <w:szCs w:val="32"/>
    </w:rPr>
  </w:style>
  <w:style w:type="paragraph" w:styleId="Subttulo">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
    <w:tblPr>
      <w:tblStyleRowBandSize w:val="1"/>
      <w:tblStyleColBandSize w:val="1"/>
      <w:tblCellMar>
        <w:top w:w="57" w:type="dxa"/>
        <w:left w:w="85" w:type="dxa"/>
        <w:bottom w:w="57" w:type="dxa"/>
        <w:right w:w="85" w:type="dxa"/>
      </w:tblCellMar>
    </w:tblPr>
  </w:style>
  <w:style w:type="table" w:customStyle="1" w:styleId="a0">
    <w:basedOn w:val="TableNormal"/>
    <w:tblPr>
      <w:tblStyleRowBandSize w:val="1"/>
      <w:tblStyleColBandSize w:val="1"/>
      <w:tblCellMar>
        <w:top w:w="0" w:type="dxa"/>
        <w:left w:w="115" w:type="dxa"/>
        <w:bottom w:w="0" w:type="dxa"/>
        <w:right w:w="115" w:type="dxa"/>
      </w:tblCellMar>
    </w:tblPr>
  </w:style>
  <w:style w:type="table" w:customStyle="1" w:styleId="a1">
    <w:basedOn w:val="TableNormal"/>
    <w:tblPr>
      <w:tblStyleRowBandSize w:val="1"/>
      <w:tblStyleColBandSize w:val="1"/>
      <w:tblCellMar>
        <w:top w:w="0" w:type="dxa"/>
        <w:left w:w="115" w:type="dxa"/>
        <w:bottom w:w="0" w:type="dxa"/>
        <w:right w:w="115"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2.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3.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footer1.xml.rels><?xml version="1.0" encoding="UTF-8" standalone="yes"?>
<Relationships xmlns="http://schemas.openxmlformats.org/package/2006/relationships"><Relationship Id="rId1" Type="http://schemas.openxmlformats.org/officeDocument/2006/relationships/hyperlink" Target="http://www.minambiente.gov.co" TargetMode="External"/></Relationships>
</file>

<file path=word/_rels/footer2.xml.rels><?xml version="1.0" encoding="UTF-8" standalone="yes"?>
<Relationships xmlns="http://schemas.openxmlformats.org/package/2006/relationships"><Relationship Id="rId1" Type="http://schemas.openxmlformats.org/officeDocument/2006/relationships/hyperlink" Target="http://www.minambiente.gov.co"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2" Type="http://schemas.openxmlformats.org/officeDocument/2006/relationships/image" Target="media/image3.png"/><Relationship Id="rId1" Type="http://schemas.openxmlformats.org/officeDocument/2006/relationships/image" Target="media/image2.png"/></Relationships>
</file>

<file path=word/_rels/header3.xml.rels><?xml version="1.0" encoding="UTF-8" standalone="yes"?>
<Relationships xmlns="http://schemas.openxmlformats.org/package/2006/relationships"><Relationship Id="rId2" Type="http://schemas.openxmlformats.org/officeDocument/2006/relationships/image" Target="media/image1.png"/><Relationship Id="rId1"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Y+KrPDVCiGjrykE+Z5P5phobz2Q==">CgMxLjAyDmguZWk2eDE3emNjc3BiMg5oLmV6NHdsbnF3anJ4ejIOaC5pMjJtbGFzMmltMmU4AHIhMWx6RzRVMlZ2em9oMFpaRVZxaW1lWjhsRGdneHU4UzRD</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29</TotalTime>
  <Pages>16</Pages>
  <Words>7834</Words>
  <Characters>43087</Characters>
  <Application>Microsoft Office Word</Application>
  <DocSecurity>0</DocSecurity>
  <Lines>359</Lines>
  <Paragraphs>101</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50820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Juan Sebastian Arbelaez</cp:lastModifiedBy>
  <cp:revision>2</cp:revision>
  <dcterms:created xsi:type="dcterms:W3CDTF">2026-06-26T20:49:00Z</dcterms:created>
  <dcterms:modified xsi:type="dcterms:W3CDTF">2026-06-26T21:38:00Z</dcterms:modified>
</cp:coreProperties>
</file>